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46E20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>ОСОБЕННОСТИ ПРОЕКТИРОВАНИЯ ДОРОГ, В СЛОЖНЫХ ПРИРОДНЫХ УСЛОВИЯХ</w:t>
      </w:r>
    </w:p>
    <w:p w14:paraId="4E74EBE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</w:pPr>
    </w:p>
    <w:p w14:paraId="768A70DA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>§ XXVIII.1. ОСОБЕННОСТИ ПРОЛОЖЕНИЯ ТРАССЫ</w:t>
      </w:r>
    </w:p>
    <w:p w14:paraId="3818520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>В РАЙОНАХ РАСПРОСТРАНЕНИЯ</w:t>
      </w:r>
    </w:p>
    <w:p w14:paraId="180FDA0B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>ВЕЧНОМЕРЗЛЫХ ГРУНТОВ</w:t>
      </w:r>
    </w:p>
    <w:p w14:paraId="332CA95F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Вечномерзлыми (многолетнемерзлыми) называют грунты, содержащие замерзшую воду и имеющие температуру ниже 0° С в течение длительного периода времени,, измеряемого десятками тысячелетий. Вечномерзлые грунты распространены на 47% территории СССР, они занимают большую часть его азиатской территории (рис. XXVIII.1). Мощность слоя мерзлых грунтов возрастает к северу страны и у берегов Северного Ледовитого океана превышает 500 м.</w:t>
      </w:r>
    </w:p>
    <w:p w14:paraId="536A5F07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В мерзлой толще грунтов всегда содержится лед – от кристаллов в порах между грунтовыми частицами и тонких прослоек между структурными агрегатами до толстых ледяных жил в трещинах мерзлого грунта и погребенных слоев льда. При оттаивании содержащие лед мерзлые грунты оказываются избыточно увлажненными, а возведенные на них сооружения претерпевают значительную осадку.</w:t>
      </w:r>
    </w:p>
    <w:p w14:paraId="32CC6E41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Многолетние наблюдения за вечной мерзлотой показывают, что она постепенно, хотя и очень медленно, отступает к северу. Поэтому вечную мерзлоту около южной границы ее распространения иногда называют деградирующей.</w:t>
      </w:r>
    </w:p>
    <w:p w14:paraId="67AE7DDD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Верхний слой грунта, который в теплое время года оттаивает, а зимой вновь замерзает, называют </w:t>
      </w:r>
      <w:r w:rsidRPr="00E717EC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деятельным слоем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. Если он соединяется с поверхностью вечной мерзлоты, последнюю называют </w:t>
      </w:r>
      <w:r w:rsidRPr="00E717EC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сливающейся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</w:t>
      </w:r>
    </w:p>
    <w:p w14:paraId="2C1F87B7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Глубина оттаивания грунта определяется его теплопроводностью и количеством поступающего в него тепла. В каждом конкретном месте толщина деятельного слоя зависит от рельефа местности и экспозиции склонов, от состава и влажности грунтов, растительного покрова и климатических факторов. На южных склонах грунт оттаивает на большую глубину, чем на северных. Глинистые грунты имеют большую теплопроводность, чем, например, торфяники. Поэтому в большинстве случаев вблизи от поверхности торфяно-моховых болот — «марей» залегают мерзлые грунты. Растительность, особенно моховой покров и кустарники, затеняя грунт, способствуют тому, что в таких местах вечная мерзлота расположена значительно ближе к поверхности грунта, чем на открытых местах. Средние толщины деятельного слоя для СССР указаны в табл. XXVII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I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.1.</w:t>
      </w:r>
    </w:p>
    <w:p w14:paraId="50A637B1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В зависимости от условий климата, рельефа, грунтов и растительности различают несколько видов залегания вечной мерзлоты по глубине и в плане (рис. XXVIII.2).</w:t>
      </w:r>
    </w:p>
    <w:p w14:paraId="13B374B2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Мерзлые грунты водонепроницаемы. Поэтому в нижней части деятельного слоя происходит накопление воды от таяния льда, образующегося в результате процессов зимней миграции влаги и от проникания дождевых и талых вод. 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Избыток воды просачивается через толщу деятельного слоя, стекая от поверхности мерзлого грунта. В зоне, примыкающей к поверхности вечномерзлого грунта, грунт всегда имеет повышенную влажность (рис. XXVIII.3).</w:t>
      </w:r>
    </w:p>
    <w:p w14:paraId="669079A6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Постройка дороги вносит изменения в природный режим вечномерзлых грунтов. Влияние этих изменений нельзя недоучитывать, принимая те или иные проектные решения. Вырубка на придорожной полосе деревьев и кустарников и удаление или повреждение мохового покрова способствует увеличению мощности деятельного слоя. При оттаивании пылеватые льдонасыщенные вечномерзлые грунты из практически твердого состояния переходят в разжиженное, растекаясь под действием собственного веса. Поэтому часто откосы" выемок, устроенных в зимнее время, весной, оттаивая, сплывают на дорогу. Оттаивание мерзлых оснований под насыпями в зависимости от количества льда, содержащегося в грунте, вызывает дополнительные осадки или полное расползание насыпей.</w:t>
      </w:r>
    </w:p>
    <w:p w14:paraId="4F97BCDB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Разрушениям способствует то обстоятельство, что поверхность протаявшего под дорогой вечномерзлого грунта имеет вогнутое очертание. Это вызывает скапливание грунтовой воды, ускоряющей дальнейшее оттаивание. На участках с близким к поверхности расположением мощных слоев льда при таянии могут возникать провальные озера (термокарстовые явления). В отдельных случаях возведение насыпей может вызвать поднятие вечной мерзлоты.</w:t>
      </w:r>
    </w:p>
    <w:p w14:paraId="0B34F873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Трассу автомобильных дорог в зоне распространения вечномерзлых грунтов следует по возможности прокладывать по участкам с наиболее благоприятными условиями грунтов и рельефа, отдавая преимущество сухим местам, на которых изменение режима вечной мерзлоты и оттаивание грунтов не отражаются на устойчивости земляного полотна.</w:t>
      </w:r>
    </w:p>
    <w:p w14:paraId="0A2C13EB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5804E46E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0"/>
          <w:sz w:val="24"/>
          <w:szCs w:val="24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i/>
          <w:kern w:val="0"/>
          <w:sz w:val="24"/>
          <w:szCs w:val="24"/>
          <w:lang w:val="ru-RU" w:eastAsia="ru-RU"/>
          <w14:ligatures w14:val="none"/>
        </w:rPr>
        <w:t xml:space="preserve">Таблица </w:t>
      </w:r>
      <w:r w:rsidRPr="00E717EC">
        <w:rPr>
          <w:rFonts w:ascii="Times New Roman" w:eastAsia="Times New Roman" w:hAnsi="Times New Roman" w:cs="Times New Roman"/>
          <w:i/>
          <w:kern w:val="0"/>
          <w:sz w:val="24"/>
          <w:szCs w:val="24"/>
          <w:lang w:val="en-US" w:eastAsia="ru-RU"/>
          <w14:ligatures w14:val="none"/>
        </w:rPr>
        <w:t>XXVIII.1</w:t>
      </w:r>
    </w:p>
    <w:p w14:paraId="4EBC236E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kern w:val="0"/>
          <w:sz w:val="24"/>
          <w:szCs w:val="24"/>
          <w:lang w:val="ru-RU" w:eastAsia="ru-RU"/>
          <w14:ligatures w14:val="none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3112"/>
        <w:gridCol w:w="3098"/>
        <w:gridCol w:w="3135"/>
      </w:tblGrid>
      <w:tr w:rsidR="00E717EC" w:rsidRPr="00E717EC" w14:paraId="5822935E" w14:textId="77777777" w:rsidTr="00B46690">
        <w:tc>
          <w:tcPr>
            <w:tcW w:w="3190" w:type="dxa"/>
            <w:vAlign w:val="center"/>
          </w:tcPr>
          <w:p w14:paraId="22A81A24" w14:textId="77777777" w:rsidR="00E717EC" w:rsidRPr="00E717EC" w:rsidRDefault="00E717EC" w:rsidP="00E717EC">
            <w:pPr>
              <w:jc w:val="center"/>
              <w:rPr>
                <w:sz w:val="24"/>
                <w:szCs w:val="24"/>
              </w:rPr>
            </w:pPr>
            <w:r w:rsidRPr="00E717EC">
              <w:rPr>
                <w:sz w:val="24"/>
                <w:szCs w:val="24"/>
              </w:rPr>
              <w:t>Грунты деятельного слоя</w:t>
            </w:r>
          </w:p>
        </w:tc>
        <w:tc>
          <w:tcPr>
            <w:tcW w:w="6380" w:type="dxa"/>
            <w:gridSpan w:val="2"/>
            <w:vAlign w:val="center"/>
          </w:tcPr>
          <w:p w14:paraId="25FF8F20" w14:textId="77777777" w:rsidR="00E717EC" w:rsidRPr="00E717EC" w:rsidRDefault="00E717EC" w:rsidP="00E717EC">
            <w:pPr>
              <w:jc w:val="center"/>
              <w:rPr>
                <w:sz w:val="24"/>
                <w:szCs w:val="24"/>
              </w:rPr>
            </w:pPr>
            <w:r w:rsidRPr="00E717EC">
              <w:rPr>
                <w:sz w:val="24"/>
                <w:szCs w:val="24"/>
              </w:rPr>
              <w:t>Мощность деятельного слоя, м</w:t>
            </w:r>
          </w:p>
        </w:tc>
      </w:tr>
      <w:tr w:rsidR="00E717EC" w:rsidRPr="00E717EC" w14:paraId="2F9173C3" w14:textId="77777777" w:rsidTr="00B46690">
        <w:tc>
          <w:tcPr>
            <w:tcW w:w="3190" w:type="dxa"/>
            <w:vAlign w:val="center"/>
          </w:tcPr>
          <w:p w14:paraId="417C67B2" w14:textId="77777777" w:rsidR="00E717EC" w:rsidRPr="00E717EC" w:rsidRDefault="00E717EC" w:rsidP="00E717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  <w:vAlign w:val="center"/>
          </w:tcPr>
          <w:p w14:paraId="5CA2FCBE" w14:textId="77777777" w:rsidR="00E717EC" w:rsidRPr="00E717EC" w:rsidRDefault="00E717EC" w:rsidP="00E717EC">
            <w:pPr>
              <w:jc w:val="center"/>
              <w:rPr>
                <w:sz w:val="24"/>
                <w:szCs w:val="24"/>
              </w:rPr>
            </w:pPr>
            <w:r w:rsidRPr="00E717EC">
              <w:rPr>
                <w:sz w:val="24"/>
                <w:szCs w:val="24"/>
              </w:rPr>
              <w:t>В районах крайнего Севера</w:t>
            </w:r>
          </w:p>
        </w:tc>
        <w:tc>
          <w:tcPr>
            <w:tcW w:w="3190" w:type="dxa"/>
            <w:vAlign w:val="center"/>
          </w:tcPr>
          <w:p w14:paraId="73C6E022" w14:textId="77777777" w:rsidR="00E717EC" w:rsidRPr="00E717EC" w:rsidRDefault="00E717EC" w:rsidP="00E717EC">
            <w:pPr>
              <w:jc w:val="center"/>
              <w:rPr>
                <w:sz w:val="24"/>
                <w:szCs w:val="24"/>
              </w:rPr>
            </w:pPr>
            <w:r w:rsidRPr="00E717EC">
              <w:rPr>
                <w:sz w:val="24"/>
                <w:szCs w:val="24"/>
              </w:rPr>
              <w:t>В Южных районах распространения мерзлых толщ</w:t>
            </w:r>
          </w:p>
        </w:tc>
      </w:tr>
      <w:tr w:rsidR="00E717EC" w:rsidRPr="00E717EC" w14:paraId="017514F6" w14:textId="77777777" w:rsidTr="00B46690">
        <w:tc>
          <w:tcPr>
            <w:tcW w:w="3190" w:type="dxa"/>
            <w:vAlign w:val="center"/>
          </w:tcPr>
          <w:p w14:paraId="7A12B99B" w14:textId="77777777" w:rsidR="00E717EC" w:rsidRPr="00E717EC" w:rsidRDefault="00E717EC" w:rsidP="00E717EC">
            <w:pPr>
              <w:jc w:val="center"/>
              <w:rPr>
                <w:sz w:val="24"/>
                <w:szCs w:val="24"/>
              </w:rPr>
            </w:pPr>
            <w:r w:rsidRPr="00E717EC">
              <w:rPr>
                <w:sz w:val="24"/>
                <w:szCs w:val="24"/>
              </w:rPr>
              <w:t>Песчанные</w:t>
            </w:r>
          </w:p>
        </w:tc>
        <w:tc>
          <w:tcPr>
            <w:tcW w:w="3190" w:type="dxa"/>
            <w:vAlign w:val="center"/>
          </w:tcPr>
          <w:p w14:paraId="3B67713C" w14:textId="77777777" w:rsidR="00E717EC" w:rsidRPr="00E717EC" w:rsidRDefault="00E717EC" w:rsidP="00E717EC">
            <w:pPr>
              <w:jc w:val="center"/>
              <w:rPr>
                <w:sz w:val="24"/>
                <w:szCs w:val="24"/>
              </w:rPr>
            </w:pPr>
            <w:r w:rsidRPr="00E717EC">
              <w:rPr>
                <w:sz w:val="24"/>
                <w:szCs w:val="24"/>
              </w:rPr>
              <w:t>1,0 – 1,8</w:t>
            </w:r>
          </w:p>
        </w:tc>
        <w:tc>
          <w:tcPr>
            <w:tcW w:w="3190" w:type="dxa"/>
            <w:vAlign w:val="center"/>
          </w:tcPr>
          <w:p w14:paraId="0A6FE371" w14:textId="77777777" w:rsidR="00E717EC" w:rsidRPr="00E717EC" w:rsidRDefault="00E717EC" w:rsidP="00E717EC">
            <w:pPr>
              <w:jc w:val="center"/>
              <w:rPr>
                <w:sz w:val="24"/>
                <w:szCs w:val="24"/>
              </w:rPr>
            </w:pPr>
            <w:r w:rsidRPr="00E717EC">
              <w:rPr>
                <w:sz w:val="24"/>
                <w:szCs w:val="24"/>
              </w:rPr>
              <w:t>2,5 – 4,5</w:t>
            </w:r>
          </w:p>
        </w:tc>
      </w:tr>
      <w:tr w:rsidR="00E717EC" w:rsidRPr="00E717EC" w14:paraId="77F93395" w14:textId="77777777" w:rsidTr="00B46690">
        <w:tc>
          <w:tcPr>
            <w:tcW w:w="3190" w:type="dxa"/>
            <w:vAlign w:val="center"/>
          </w:tcPr>
          <w:p w14:paraId="03B1C99C" w14:textId="77777777" w:rsidR="00E717EC" w:rsidRPr="00E717EC" w:rsidRDefault="00E717EC" w:rsidP="00E717EC">
            <w:pPr>
              <w:jc w:val="center"/>
              <w:rPr>
                <w:sz w:val="24"/>
                <w:szCs w:val="24"/>
              </w:rPr>
            </w:pPr>
            <w:r w:rsidRPr="00E717EC">
              <w:rPr>
                <w:sz w:val="24"/>
                <w:szCs w:val="24"/>
              </w:rPr>
              <w:t>Глинистые и торфяно-болотные</w:t>
            </w:r>
          </w:p>
        </w:tc>
        <w:tc>
          <w:tcPr>
            <w:tcW w:w="3190" w:type="dxa"/>
            <w:vAlign w:val="center"/>
          </w:tcPr>
          <w:p w14:paraId="5690078A" w14:textId="77777777" w:rsidR="00E717EC" w:rsidRPr="00E717EC" w:rsidRDefault="00E717EC" w:rsidP="00E717EC">
            <w:pPr>
              <w:jc w:val="center"/>
              <w:rPr>
                <w:sz w:val="24"/>
                <w:szCs w:val="24"/>
              </w:rPr>
            </w:pPr>
            <w:r w:rsidRPr="00E717EC">
              <w:rPr>
                <w:sz w:val="24"/>
                <w:szCs w:val="24"/>
              </w:rPr>
              <w:t>0,4 – 1,2</w:t>
            </w:r>
          </w:p>
        </w:tc>
        <w:tc>
          <w:tcPr>
            <w:tcW w:w="3190" w:type="dxa"/>
            <w:vAlign w:val="center"/>
          </w:tcPr>
          <w:p w14:paraId="6E7E225D" w14:textId="77777777" w:rsidR="00E717EC" w:rsidRPr="00E717EC" w:rsidRDefault="00E717EC" w:rsidP="00E717EC">
            <w:pPr>
              <w:jc w:val="center"/>
              <w:rPr>
                <w:sz w:val="24"/>
                <w:szCs w:val="24"/>
              </w:rPr>
            </w:pPr>
            <w:r w:rsidRPr="00E717EC">
              <w:rPr>
                <w:sz w:val="24"/>
                <w:szCs w:val="24"/>
              </w:rPr>
              <w:t>1,0 – 2,5</w:t>
            </w:r>
          </w:p>
        </w:tc>
      </w:tr>
    </w:tbl>
    <w:p w14:paraId="2E3CC740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6CB4C04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lastRenderedPageBreak/>
        <w:drawing>
          <wp:inline distT="0" distB="0" distL="0" distR="0" wp14:anchorId="481A97B3" wp14:editId="3F3A89AA">
            <wp:extent cx="5886450" cy="86868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868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D4188C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06295FF7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7C532B3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Courier New" w:eastAsia="Times New Roman" w:hAnsi="Courier New" w:cs="Times New Roman"/>
          <w:noProof/>
          <w:kern w:val="0"/>
          <w:sz w:val="24"/>
          <w:szCs w:val="24"/>
          <w:lang w:val="ru-RU" w:eastAsia="ru-RU"/>
          <w14:ligatures w14:val="none"/>
        </w:rPr>
        <w:lastRenderedPageBreak/>
        <w:drawing>
          <wp:inline distT="0" distB="0" distL="0" distR="0" wp14:anchorId="43C01E37" wp14:editId="3C540D8E">
            <wp:extent cx="5610225" cy="320992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ADEECB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34AEA781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Применительно к условиям зоны распространения вечномерзлых грунтов целесообразно различать следующие типы местности:</w:t>
      </w:r>
    </w:p>
    <w:p w14:paraId="2B5CDDD3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сухие места с обеспеченным поверхностным стоком — каменистые возвышенности, крутые склоны сопок, участки с близким залеганием коренных скальных пород или сложенные на глубину 10 м и более каменистыми, гравелиетыми и песзд-ными сухими грунтами, а также супесчаными и непросадочными глинистыми грунтами без ледяных прослоен (влажность менее 0,77 от предела текучести). Строительные свойства таких грунтов не меняются при замерзании и оттаивании. При обеспеченном стоке мощность деятельного слоя на таких участках бывает не менее 2,5 м;</w:t>
      </w:r>
    </w:p>
    <w:p w14:paraId="24B6B8F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сырые места с избыточным увлажнением в отдельные периоды года – пологие склоны гор южной экспозиции, плоские водоразделы, сложенные песчаными и глинистыми малопросадочными грунтами с относительной влажностью 0,77 – 1 от предела текучести. При необеспеченном поверхностном стоке летнее оттаивание не превышает 1 – 2,5 м;</w:t>
      </w:r>
    </w:p>
    <w:p w14:paraId="10E21F31" w14:textId="652BC442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26578865" wp14:editId="6989C3DC">
                <wp:simplePos x="0" y="0"/>
                <wp:positionH relativeFrom="margin">
                  <wp:posOffset>4294505</wp:posOffset>
                </wp:positionH>
                <wp:positionV relativeFrom="paragraph">
                  <wp:posOffset>4206240</wp:posOffset>
                </wp:positionV>
                <wp:extent cx="0" cy="103505"/>
                <wp:effectExtent l="12065" t="10795" r="6985" b="9525"/>
                <wp:wrapNone/>
                <wp:docPr id="1942472535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350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6C867F" id="Прямая соединительная линия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38.15pt,331.2pt" to="338.15pt,33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" o:allowincell="f" strokeweight=".25pt">
                <w10:wrap anchorx="margin"/>
              </v:line>
            </w:pict>
          </mc:Fallback>
        </mc:AlternateConten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переувлажненные (мокрые) места — мари, заболоченные тальвеги и пониженные места рельефа с развитым мохоторфяным покровом, с необеспеченным водоотводом и избыточным увлажнением. Грунты глинистые, сильнопросадочные с влажностью выше границы текучести, содержащие линзы льда толщиной более 10 см. Летнее оттаивание не превышает 1 м.</w:t>
      </w:r>
    </w:p>
    <w:p w14:paraId="4DD3574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Дороги следует стремиться прокладывать в насыпях с рабочими отметками, гарантирующими снегонезаносимость. Выемки допустимы лишь в скальных породах и в сухих грунтах.</w:t>
      </w:r>
    </w:p>
    <w:p w14:paraId="3FC7BBF2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6C82107F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lastRenderedPageBreak/>
        <w:drawing>
          <wp:inline distT="0" distB="0" distL="0" distR="0" wp14:anchorId="7F98D7CD" wp14:editId="259BBDCC">
            <wp:extent cx="2524125" cy="4000500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4BFD351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5E1ABBF1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>§ XXV</w:t>
      </w:r>
      <w:r w:rsidRPr="00E717EC"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 w:eastAsia="ru-RU"/>
          <w14:ligatures w14:val="none"/>
        </w:rPr>
        <w:t>III</w:t>
      </w:r>
      <w:r w:rsidRPr="00E717EC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>.2. КОНСТРУКЦИЯ ЗЕМЛЯНОГО ПОЛОТНА ДОРОГ В РАЙОНАХ ВЕЧНОЙ МЕРЗЛОТЫ</w:t>
      </w:r>
    </w:p>
    <w:p w14:paraId="42A8ED82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Конструкция земляного полотна автомобильных дорог в зоне вечномерзлых грунтов должна учитывать изменения вводно-теплового режима придорожной полосы, вносимые строительством и последующей эксплуатацией дороги.</w:t>
      </w:r>
    </w:p>
    <w:p w14:paraId="65AC6FB6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В зависимости от климатических условий района строительства, рельефа местности, состава и льдонасыщенности грунта должен быть обеспечен один из следующих температурных режимов мерзлого грунта в основании земляного полотна:</w:t>
      </w:r>
    </w:p>
    <w:p w14:paraId="23469101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сохранение вечномерзлых грунтов в основаниях в течение всего периода эксплуатации дороги;</w:t>
      </w:r>
    </w:p>
    <w:p w14:paraId="65359ED0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частичное оттаивание мерзлого грунта на величину, определяемую расчетом;</w:t>
      </w:r>
    </w:p>
    <w:p w14:paraId="551A8E6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оттаивание мерзлого грунта до начала строительства дороги до глубины, на которой он уже не влияет на работу земляного полотна и осушение придорожной полосы.</w:t>
      </w:r>
    </w:p>
    <w:p w14:paraId="76D583B1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Первый способ находит применение при третьем типе местности, сильнольдистых глинистых грунтах и низкотемпературной вечной мерзлоте, когда оттаивание может привести к просадке и разрушению насыпей. На всей придорожной полосе сохраняют моховой и растительный покров. Лесные просеки ограничивают шириной насыпи по низу.</w:t>
      </w:r>
    </w:p>
    <w:p w14:paraId="782A16AE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Дорогу проектируют в насыпях, сооружаемых из неподверженных пучению песчаных и супесчаных грунтов, крупнообломочных горных пород и привозных глинистых грунтов. Преимущественное распространение первый способ имеет в северных районах страны, на переувлажненных местах с 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высоким уровнем вечномерзлых грунтов, имеющих обычно мощный моховой покров.</w:t>
      </w:r>
    </w:p>
    <w:p w14:paraId="01B51B4F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После постройки насыпи уровень вечной мерзлоты повышается, и она достигает подешвы насыпи. Необходимо, однако, учитывать, что возможные изменения водно-теплового режима грунтов в процессе эксплуатации придорожной полосы, например вырубка леса и уничтожение мохового покрова, будут неизбежно отражаться на состоянии дороги, вплоть до полного ее разрушения.</w:t>
      </w:r>
    </w:p>
    <w:p w14:paraId="1BE55030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Второй способ рекомендуется для сырых мест с низкотемпературной вечной мерзлотой с малольдонасыщенными глинистыми и песчаными грунтами с влажностью менее предела текучести (просадочность от 3 до 10%). Под земляным полотном допускается частичное оттаивание грунта, величину которого контролируют расчетом. При этом граница мерзлых грунтов должна иметь под насыпью выпуклое очертание. Насыпи можно возводить из местных грунтов, добываемых в придорожных резервах.</w:t>
      </w:r>
    </w:p>
    <w:p w14:paraId="4741F48A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При проектировании земляного полотна по первому и второму способам выемок следует избегать. При неизбежности их устройства должен быть обеспечен надежный отвод воды, откосам приданы пологие уклоны, а на откосах ив земляном полотне уложены по расчетам надежные теплоизоляционные слои.</w:t>
      </w:r>
    </w:p>
    <w:p w14:paraId="484F3E5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Третий способ, применяемый в южных районах зоны, с высокотемпературной сплошной и островной мерзлотой предусматривает максимальное оттаивание и осушение грунтов придорожной полосы. За год до возведения земляного полотна на полосе отвода удаляют растительность и мохо-торфяной слой, обеспечивают поверхностный водоотвод.</w:t>
      </w:r>
    </w:p>
    <w:p w14:paraId="23170172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Для возведения насыпей используют преимущественно местные несвязные песчаные, супесчаные и обломочные грунты. При сохранении под насыпью мохового покрова нижний слой толщиной 0,3 – 0,5 м целесообразно устраивать из грунтов с камнями крупностью не более 10 см. Глинистые грунты, влажность которых не превышает 1,2 м от оптимальной, разрешается использовать только в средней части насыпи при летнем производстве работ и хорошем качестве уплотнения. Верхнюю часть насыпей не менее чем на 0,5 м отсыпают из дренирующих грунтов, щебня или гравия.</w:t>
      </w:r>
    </w:p>
    <w:p w14:paraId="449F3F97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При обосновании необходимой высоты насыпи наряду с обычными требованиями снегонезаносимости и возвышения над источниками увлажнения необходимо учитывать также обеспечение заданного температурного режима вечной мерзлоты. При этом исходят из упрощенной схемы температурных расчетов.</w:t>
      </w:r>
    </w:p>
    <w:p w14:paraId="2C576125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При сохранении вечной мерзлоты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, насыпь на скальных, супесчаных или глинистых грунтах, имеющих оптимальную влажность, должна оттаивать на полную высоту только к наступлению морозного периода. В нормативных документах имеются составленные по данным наблюдений карты изолиний нормативных глубин сезонного оттаивания (деятельного слоя) различных грунтов в зоне вечной мерзлоты (рис. XXVIII.4).</w:t>
      </w:r>
    </w:p>
    <w:p w14:paraId="2F368163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Высота насыпи должна быть равна толщине слоя промерзания с введением 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поправок на условия оттаивания, т. е.</w:t>
      </w:r>
    </w:p>
    <w:p w14:paraId="590E8E9A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1E81896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H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нас</m:t>
            </m:r>
          </m:sub>
        </m:sSub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H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p</m:t>
            </m:r>
          </m:sub>
        </m:sSub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m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t</m:t>
            </m:r>
          </m:sub>
        </m:sSub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K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p</m:t>
            </m:r>
          </m:sub>
        </m:sSub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K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w</m:t>
            </m:r>
          </m:sub>
        </m:sSub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,</m:t>
        </m:r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 xml:space="preserve">                          (XXVIII.1)</w:t>
      </w:r>
    </w:p>
    <w:p w14:paraId="6A811DFD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</w:p>
    <w:p w14:paraId="7668707D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Где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H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p</m:t>
            </m:r>
          </m:sub>
        </m:sSub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- нормативная глубина оттаивания в грунте, из которого отсыпают насыпь;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m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t</m:t>
            </m:r>
          </m:sub>
        </m:sSub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- коэффициент, учитывающий поглощение тепла покрытием (1,05 для цементобетонных, 1,1-1,6 для покрытий с применением органических вяжущих);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K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p</m:t>
            </m:r>
          </m:sub>
        </m:sSub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- коэффициент дополнительного притока тепла в основание, учитывающий влияние откосов насыпи и вырубки при постройке дороги просеки. Значения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K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p</m:t>
            </m:r>
          </m:sub>
        </m:sSub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меняются в зависимости от климатического района в сравнительно малых пределах 1,16-1,22;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K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w</m:t>
            </m:r>
          </m:sub>
        </m:sSub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– коэффициент, учитывающий влияние влажности грунта на глубину протаивания основания. Величина его может </w:t>
      </w:r>
      <w:r w:rsidRPr="00E717E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ru-RU"/>
          <w14:ligatures w14:val="none"/>
        </w:rPr>
        <w:t xml:space="preserve">найдена по эмпирической формуле </w:t>
      </w:r>
      <w:r w:rsidRPr="00E717EC">
        <w:rPr>
          <w:rFonts w:ascii="Times New Roman" w:eastAsia="Times New Roman" w:hAnsi="Times New Roman" w:cs="Times New Roman"/>
          <w:kern w:val="0"/>
          <w:position w:val="-34"/>
          <w:sz w:val="20"/>
          <w:szCs w:val="20"/>
          <w:lang w:val="ru-RU" w:eastAsia="ru-RU"/>
          <w14:ligatures w14:val="none"/>
        </w:rPr>
        <w:object w:dxaOrig="1719" w:dyaOrig="780" w14:anchorId="0861A8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4pt;height:38.8pt" o:ole="">
            <v:imagedata r:id="rId8" o:title=""/>
          </v:shape>
          <o:OLEObject Type="Embed" ProgID="Equation.DSMT4" ShapeID="_x0000_i1025" DrawAspect="Content" ObjectID="_1756234517" r:id="rId9"/>
        </w:object>
      </w:r>
      <w:r w:rsidRPr="00E717E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ru-RU"/>
          <w14:ligatures w14:val="none"/>
        </w:rPr>
        <w:t xml:space="preserve">;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val="en-US" w:eastAsia="ru-RU"/>
          <w14:ligatures w14:val="none"/>
        </w:rPr>
        <w:t>W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vertAlign w:val="subscript"/>
          <w:lang w:val="ru-RU" w:eastAsia="ru-RU"/>
          <w14:ligatures w14:val="none"/>
        </w:rPr>
        <w:t>0</w:t>
      </w:r>
      <w:r w:rsidRPr="00E717E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ru-RU"/>
          <w14:ligatures w14:val="none"/>
        </w:rPr>
        <w:t xml:space="preserve"> – влажность грунта, %;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val="ru-RU" w:eastAsia="ru-RU"/>
          <w14:ligatures w14:val="none"/>
        </w:rPr>
        <w:t>а</w:t>
      </w:r>
      <w:r w:rsidRPr="00E717E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ru-RU"/>
          <w14:ligatures w14:val="none"/>
        </w:rPr>
        <w:t xml:space="preserve"> – эмпирическая величина, приближенно равная, для всех грунтов 0,90;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val="en-US" w:eastAsia="ru-RU"/>
          <w14:ligatures w14:val="none"/>
        </w:rPr>
        <w:t>b</w:t>
      </w:r>
      <w:r w:rsidRPr="00E717E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ru-RU"/>
          <w14:ligatures w14:val="none"/>
        </w:rPr>
        <w:t xml:space="preserve"> – коэффициент, учитывающий вид грунта; для песчано-гравийных грунтов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val="en-US" w:eastAsia="ru-RU"/>
          <w14:ligatures w14:val="none"/>
        </w:rPr>
        <w:t>b</w:t>
      </w:r>
      <w:r w:rsidRPr="00E717E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ru-RU"/>
          <w14:ligatures w14:val="none"/>
        </w:rPr>
        <w:t xml:space="preserve"> = 0,018, для супесчаных и суглинистых грунтов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val="en-US" w:eastAsia="ru-RU"/>
          <w14:ligatures w14:val="none"/>
        </w:rPr>
        <w:t>b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4"/>
          <w:szCs w:val="24"/>
          <w:lang w:val="ru-RU" w:eastAsia="ru-RU"/>
          <w14:ligatures w14:val="none"/>
        </w:rPr>
        <w:t xml:space="preserve"> =</w:t>
      </w:r>
      <w:r w:rsidRPr="00E717EC">
        <w:rPr>
          <w:rFonts w:ascii="Times New Roman" w:eastAsia="Times New Roman" w:hAnsi="Times New Roman" w:cs="Times New Roman"/>
          <w:kern w:val="0"/>
          <w:sz w:val="24"/>
          <w:szCs w:val="24"/>
          <w:lang w:val="ru-RU" w:eastAsia="ru-RU"/>
          <w14:ligatures w14:val="none"/>
        </w:rPr>
        <w:t xml:space="preserve"> 0,007.</w:t>
      </w:r>
    </w:p>
    <w:p w14:paraId="1FB055BC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При проектировании дороги с </w:t>
      </w:r>
      <w:r w:rsidRPr="00E717EC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частичным оттаиванием придорожной полосы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учитывают уплотнение оттаявшего грунта, происходящее в процессе эксплуатации дороги под действием веса насыпи и проходящих автомобилей, а также зимнее вспучивание и последующую осадку, которые нарушают ровность дорожных одежд и могут явиться причиной их разрушения (рис. XXVIII.5).</w:t>
      </w:r>
    </w:p>
    <w:p w14:paraId="4AD5DD8B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lastRenderedPageBreak/>
        <w:drawing>
          <wp:inline distT="0" distB="0" distL="0" distR="0" wp14:anchorId="62CD0B5B" wp14:editId="6F399080">
            <wp:extent cx="5372100" cy="459105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459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A10BF2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0253EC5A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В процессе осадки насыпи, затягивающейся на ряд лет, происходит выжимание избытка воды в результате фильтрационной консолидации. При осадке насыпи на величину 5 (до уровня 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I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) и поднятии верхнего уровня вечномерзлого грунта на величину δ (до уровня 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II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мощность деятельного слоя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en-US" w:eastAsia="ru-RU"/>
          <w14:ligatures w14:val="none"/>
        </w:rPr>
        <w:t>H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vertAlign w:val="subscript"/>
          <w:lang w:val="ru-RU" w:eastAsia="ru-RU"/>
          <w14:ligatures w14:val="none"/>
        </w:rPr>
        <w:t>д.с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уменьшается до величины </w:t>
      </w:r>
      <w:r w:rsidRPr="00E717EC">
        <w:rPr>
          <w:rFonts w:ascii="Times New Roman" w:eastAsia="Times New Roman" w:hAnsi="Times New Roman" w:cs="Times New Roman"/>
          <w:kern w:val="0"/>
          <w:position w:val="-16"/>
          <w:sz w:val="20"/>
          <w:szCs w:val="20"/>
          <w:lang w:val="ru-RU" w:eastAsia="ru-RU"/>
          <w14:ligatures w14:val="none"/>
        </w:rPr>
        <w:object w:dxaOrig="660" w:dyaOrig="420" w14:anchorId="25856948">
          <v:shape id="_x0000_i1026" type="#_x0000_t75" style="width:33.2pt;height:21.3pt" o:ole="">
            <v:imagedata r:id="rId11" o:title=""/>
          </v:shape>
          <o:OLEObject Type="Embed" ProgID="Equation.DSMT4" ShapeID="_x0000_i1026" DrawAspect="Content" ObjectID="_1756234518" r:id="rId12"/>
        </w:objec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</w:t>
      </w:r>
    </w:p>
    <w:p w14:paraId="689EFD5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Глубину прлотаивания под насыпью необходимо ограничивать величиной, при которой сезонное уплотнение и вспучивание основания при промерзании и оттаивании не превысят допустимой для дорожной одежды величины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en-US" w:eastAsia="ru-RU"/>
          <w14:ligatures w14:val="none"/>
        </w:rPr>
        <w:t>f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vertAlign w:val="subscript"/>
          <w:lang w:val="ru-RU" w:eastAsia="ru-RU"/>
          <w14:ligatures w14:val="none"/>
        </w:rPr>
        <w:t>доп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(см. § VI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I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.3). По данным наблюдений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en-US" w:eastAsia="ru-RU"/>
          <w14:ligatures w14:val="none"/>
        </w:rPr>
        <w:t>f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vertAlign w:val="subscript"/>
          <w:lang w:val="ru-RU" w:eastAsia="ru-RU"/>
          <w14:ligatures w14:val="none"/>
        </w:rPr>
        <w:t>доп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составляет для цементобетонных покрытий 2 см, асфальтобетонных 4, облегченных усовершенствованных 6 – 8 и покрытий переходных и низших типов 10 – 15 см.</w:t>
      </w:r>
    </w:p>
    <w:p w14:paraId="3669680B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04C9476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lastRenderedPageBreak/>
        <w:drawing>
          <wp:inline distT="0" distB="0" distL="0" distR="0" wp14:anchorId="0E6974AA" wp14:editId="7EAD6277">
            <wp:extent cx="5267325" cy="214312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C46F31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62EA768D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Величина сжатия слоя мерзлого грунта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h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после оттаивания под нагрузкой может быть определена по упрощенной зависимости</w:t>
      </w:r>
    </w:p>
    <w:p w14:paraId="57D2F190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528A0232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S</m:t>
            </m:r>
          </m:e>
          <m:sub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отт</m:t>
            </m:r>
          </m:sub>
        </m:sSub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ru-RU" w:eastAsia="ru-RU"/>
            <w14:ligatures w14:val="none"/>
          </w:rPr>
          <m:t>=</m:t>
        </m:r>
        <m:r>
          <w:rPr>
            <w:rFonts w:ascii="Cambria Math" w:eastAsia="Times New Roman" w:hAnsi="Cambria Math" w:cs="Times New Roman"/>
            <w:kern w:val="0"/>
            <w:sz w:val="28"/>
            <w:szCs w:val="28"/>
            <w:lang w:val="ru-RU" w:eastAsia="ru-RU"/>
            <w14:ligatures w14:val="none"/>
          </w:rPr>
          <m:t>eh</m:t>
        </m:r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ru-RU" w:eastAsia="ru-RU"/>
            <w14:ligatures w14:val="none"/>
          </w:rPr>
          <m:t>,</m:t>
        </m:r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                                 (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XXVIII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.2)</w:t>
      </w:r>
    </w:p>
    <w:p w14:paraId="13830CB0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258A6B3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где е – коэффициент относительной осадки мерзлого грунта при оттаивании, зависящей от состава и влажности грунта и степени его уплотнения. Величины коэффициента е, изменяющиеся в пределах 0,01-0,25, приведены в нормативной литературе.</w:t>
      </w:r>
    </w:p>
    <w:p w14:paraId="4A400E6C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16761F3A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Точная величина осадки льдонасыщеного грунта под насыпью может быть в каждом конкретном случае рассчитана методами механики мерзлых грунтов.</w:t>
      </w:r>
    </w:p>
    <w:p w14:paraId="4C98AD51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Отсюда допустимая толщина слоя талого грунта под насыпью в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br/>
        <w:t>летний период:</w:t>
      </w:r>
    </w:p>
    <w:p w14:paraId="183DCD93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H</m:t>
            </m:r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´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д</m:t>
            </m:r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.</m:t>
            </m:r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о</m:t>
            </m:r>
          </m:sub>
        </m:sSub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en-US" w:eastAsia="ru-RU"/>
            <w14:ligatures w14:val="none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f</m:t>
                </m:r>
              </m:e>
              <m:sub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доп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e</m:t>
            </m:r>
          </m:den>
        </m:f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en-US" w:eastAsia="ru-RU"/>
            <w14:ligatures w14:val="none"/>
          </w:rPr>
          <m:t>,</m:t>
        </m:r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 xml:space="preserve">                                    (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ХХ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VIII.3)</w:t>
      </w:r>
    </w:p>
    <w:p w14:paraId="16044F61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</w:p>
    <w:p w14:paraId="3E6600F3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Грунт, подстилающий насыпь, имеет меньшую теплопроводность, чем материал насыпи, отсыпаемой обычно из песчаных и скелетных грунтов. Средняя скорость оттаивания грунта насыпи составляет:</w:t>
      </w:r>
    </w:p>
    <w:p w14:paraId="6A3F336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ϑ</m:t>
              </m:r>
            </m:e>
            <m:sub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нас</m:t>
              </m:r>
            </m:sub>
          </m:sSub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ru-RU" w:eastAsia="ru-RU"/>
              <w14:ligatures w14:val="none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Н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р</m:t>
                  </m:r>
                </m:sub>
              </m:sSub>
            </m:num>
            <m:den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τ</m:t>
              </m:r>
            </m:den>
          </m:f>
        </m:oMath>
      </m:oMathPara>
    </w:p>
    <w:p w14:paraId="15A4016A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4FD6F0CF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а грунта основания</w:t>
      </w:r>
    </w:p>
    <w:p w14:paraId="03E122F9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ϑ</m:t>
              </m:r>
            </m:e>
            <m:sub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осн</m:t>
              </m:r>
            </m:sub>
          </m:sSub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ru-RU" w:eastAsia="ru-RU"/>
              <w14:ligatures w14:val="none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д</m:t>
                  </m:r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.</m:t>
                  </m:r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с</m:t>
                  </m:r>
                </m:sub>
              </m:sSub>
            </m:num>
            <m:den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τ</m:t>
              </m:r>
            </m:den>
          </m:f>
        </m:oMath>
      </m:oMathPara>
    </w:p>
    <w:p w14:paraId="6F0761E7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где</w:t>
      </w:r>
      <m:oMath>
        <m:r>
          <w:rPr>
            <w:rFonts w:ascii="Cambria Math" w:eastAsia="Times New Roman" w:hAnsi="Cambria Math" w:cs="Times New Roman"/>
            <w:kern w:val="0"/>
            <w:sz w:val="28"/>
            <w:szCs w:val="28"/>
            <w:lang w:val="ru-RU" w:eastAsia="ru-RU"/>
            <w14:ligatures w14:val="none"/>
          </w:rPr>
          <m:t xml:space="preserve"> </m:t>
        </m:r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Н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р</m:t>
            </m:r>
          </m:sub>
        </m:sSub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и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H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д.с</m:t>
            </m:r>
          </m:sub>
        </m:sSub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- нормативные глубины оттаивания грунтов насыпи и основания, принимаемые по картам, м;</w:t>
      </w:r>
      <m:oMath>
        <m:r>
          <w:rPr>
            <w:rFonts w:ascii="Cambria Math" w:eastAsia="Times New Roman" w:hAnsi="Cambria Math" w:cs="Times New Roman"/>
            <w:kern w:val="0"/>
            <w:sz w:val="28"/>
            <w:szCs w:val="28"/>
            <w:lang w:val="ru-RU" w:eastAsia="ru-RU"/>
            <w14:ligatures w14:val="none"/>
          </w:rPr>
          <m:t xml:space="preserve"> τ</m:t>
        </m:r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- продолжительность теплого времени года.</w:t>
      </w:r>
    </w:p>
    <w:p w14:paraId="0943C4A5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07DBACCF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Поэтому слой грунта основания толщиной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en-US" w:eastAsia="ru-RU"/>
          <w14:ligatures w14:val="none"/>
        </w:rPr>
        <w:t>h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vertAlign w:val="subscript"/>
          <w:lang w:val="ru-RU" w:eastAsia="ru-RU"/>
          <w14:ligatures w14:val="none"/>
        </w:rPr>
        <w:t>Д.С.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эквивалентен в отношении глубины промерзания слою насыпи толщиной:</w:t>
      </w:r>
    </w:p>
    <w:p w14:paraId="118143E3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h</m:t>
              </m:r>
            </m:e>
            <m:sub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н</m:t>
              </m:r>
            </m:sub>
          </m:sSub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ru-RU" w:eastAsia="ru-RU"/>
              <w14:ligatures w14:val="none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h</m:t>
              </m:r>
            </m:e>
            <m:sub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д</m:t>
              </m:r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.</m:t>
              </m:r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о</m:t>
              </m:r>
            </m:sub>
          </m:sSub>
          <m:f>
            <m:f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p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д</m:t>
                  </m:r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.</m:t>
                  </m:r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с</m:t>
                  </m:r>
                </m:sub>
              </m:sSub>
            </m:den>
          </m:f>
        </m:oMath>
      </m:oMathPara>
    </w:p>
    <w:p w14:paraId="27162845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18139983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и, следовательно, оставляемый под насыпью слой талого грунта соответствует по теплопроводности слою грунта насыпи толщиной</w:t>
      </w:r>
    </w:p>
    <w:p w14:paraId="42F5042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4CACB2D7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H</m:t>
              </m:r>
            </m:e>
            <m: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нас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экв</m:t>
                  </m:r>
                </m:sub>
              </m:sSub>
            </m:sub>
          </m:sSub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ru-RU" w:eastAsia="ru-RU"/>
              <w14:ligatures w14:val="none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H</m:t>
              </m:r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´</m:t>
              </m:r>
            </m:e>
            <m:sub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д</m:t>
              </m:r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.</m:t>
              </m:r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с</m:t>
              </m:r>
            </m:sub>
          </m:sSub>
          <m:f>
            <m:f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p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д</m:t>
                  </m:r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.</m:t>
                  </m:r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с</m:t>
                  </m:r>
                </m:sub>
              </m:sSub>
            </m:den>
          </m:f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ru-RU" w:eastAsia="ru-RU"/>
              <w14:ligatures w14:val="none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f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доп</m:t>
                  </m:r>
                </m:sub>
              </m:sSub>
            </m:num>
            <m:den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e</m:t>
              </m:r>
            </m:den>
          </m:f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ru-RU" w:eastAsia="ru-RU"/>
              <w14:ligatures w14:val="none"/>
            </w:rPr>
            <m:t>∙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p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д</m:t>
                  </m:r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.</m:t>
                  </m:r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с</m:t>
                  </m:r>
                </m:sub>
              </m:sSub>
            </m:den>
          </m:f>
        </m:oMath>
      </m:oMathPara>
    </w:p>
    <w:p w14:paraId="1855D32D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ourier New" w:eastAsia="Times New Roman" w:hAnsi="Courier New" w:cs="Times New Roman"/>
          <w:kern w:val="0"/>
          <w:sz w:val="24"/>
          <w:szCs w:val="24"/>
          <w:lang w:val="ru-RU" w:eastAsia="ru-RU"/>
          <w14:ligatures w14:val="none"/>
        </w:rPr>
      </w:pPr>
    </w:p>
    <w:p w14:paraId="2F931C7F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Необходимая высота насыпи</w:t>
      </w:r>
    </w:p>
    <w:p w14:paraId="39B901FD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098E1630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m:oMath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H</m:t>
        </m:r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ru-RU" w:eastAsia="ru-RU"/>
            <w14:ligatures w14:val="none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H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p</m:t>
            </m:r>
          </m:sub>
        </m:sSub>
        <m:r>
          <w:rPr>
            <w:rFonts w:ascii="Cambria Math" w:eastAsia="Times New Roman" w:hAnsi="Cambria Math" w:cs="Times New Roman"/>
            <w:kern w:val="0"/>
            <w:sz w:val="28"/>
            <w:szCs w:val="28"/>
            <w:lang w:val="ru-RU" w:eastAsia="ru-RU"/>
            <w14:ligatures w14:val="none"/>
          </w:rPr>
          <m:t>-</m:t>
        </m:r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S</m:t>
        </m:r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ru-RU" w:eastAsia="ru-RU"/>
            <w14:ligatures w14:val="none"/>
          </w:rPr>
          <m:t>-</m:t>
        </m:r>
        <m:f>
          <m:f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f</m:t>
                </m:r>
              </m:e>
              <m:sub>
                <m:r>
                  <w:rPr>
                    <w:rFonts w:ascii="Cambria Math" w:eastAsia="Times New Roman" w:hAnsi="Times New Roman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доп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e</m:t>
            </m:r>
          </m:den>
        </m:f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ru-RU" w:eastAsia="ru-RU"/>
            <w14:ligatures w14:val="none"/>
          </w:rPr>
          <m:t>∙</m:t>
        </m:r>
        <m:f>
          <m:f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H</m:t>
                </m:r>
              </m:e>
              <m:sub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p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H</m:t>
                </m:r>
              </m:e>
              <m:sub>
                <m:r>
                  <w:rPr>
                    <w:rFonts w:ascii="Cambria Math" w:eastAsia="Times New Roman" w:hAnsi="Times New Roman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д</m:t>
                </m:r>
                <m:r>
                  <w:rPr>
                    <w:rFonts w:ascii="Cambria Math" w:eastAsia="Times New Roman" w:hAnsi="Times New Roman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.</m:t>
                </m:r>
                <m:r>
                  <w:rPr>
                    <w:rFonts w:ascii="Cambria Math" w:eastAsia="Times New Roman" w:hAnsi="Times New Roman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с</m:t>
                </m:r>
              </m:sub>
            </m:sSub>
          </m:den>
        </m:f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                           (ХХVIII.4)</w:t>
      </w:r>
    </w:p>
    <w:p w14:paraId="2AF5E9A9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3711B10B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Учитывая, как и при выводе уравнения (XXVIII.4) влияние местных условий на прогревание насыпи, получаем окончательную формулу для расчетов</w:t>
      </w:r>
    </w:p>
    <w:p w14:paraId="3CC1B2C3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  <m:oMath>
        <m:r>
          <w:rPr>
            <w:rFonts w:ascii="Cambria Math" w:eastAsia="Times New Roman" w:hAnsi="Cambria Math" w:cs="Times New Roman"/>
            <w:kern w:val="0"/>
            <w:sz w:val="28"/>
            <w:szCs w:val="28"/>
            <w:lang w:val="ru-RU" w:eastAsia="ru-RU"/>
            <w14:ligatures w14:val="none"/>
          </w:rPr>
          <m:t>H</m:t>
        </m:r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en-US" w:eastAsia="ru-RU"/>
            <w14:ligatures w14:val="none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H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p</m:t>
            </m:r>
          </m:sub>
        </m:sSub>
        <m:d>
          <m:d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dPr>
          <m:e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1</m:t>
            </m:r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-</m:t>
            </m:r>
            <m:f>
              <m:fPr>
                <m:ctrlPr>
                  <w:rPr>
                    <w:rFonts w:ascii="Cambria Math" w:eastAsia="Times New Roman" w:hAnsi="Cambria Math" w:cs="Times New Roman"/>
                    <w:i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kern w:val="0"/>
                        <w:sz w:val="28"/>
                        <w:szCs w:val="28"/>
                        <w:lang w:val="ru-RU" w:eastAsia="ru-RU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kern w:val="0"/>
                        <w:sz w:val="28"/>
                        <w:szCs w:val="28"/>
                        <w:lang w:val="ru-RU" w:eastAsia="ru-RU"/>
                        <w14:ligatures w14:val="none"/>
                      </w:rPr>
                      <m:t>f</m:t>
                    </m:r>
                  </m:e>
                  <m:sub>
                    <m:r>
                      <w:rPr>
                        <w:rFonts w:ascii="Cambria Math" w:eastAsia="Times New Roman" w:hAnsi="Times New Roman" w:cs="Times New Roman"/>
                        <w:kern w:val="0"/>
                        <w:sz w:val="28"/>
                        <w:szCs w:val="28"/>
                        <w:lang w:val="ru-RU" w:eastAsia="ru-RU"/>
                        <w14:ligatures w14:val="none"/>
                      </w:rPr>
                      <m:t>доп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kern w:val="0"/>
                        <w:sz w:val="28"/>
                        <w:szCs w:val="28"/>
                        <w:lang w:val="ru-RU" w:eastAsia="ru-RU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kern w:val="0"/>
                        <w:sz w:val="28"/>
                        <w:szCs w:val="28"/>
                        <w:lang w:val="ru-RU" w:eastAsia="ru-RU"/>
                        <w14:ligatures w14:val="none"/>
                      </w:rPr>
                      <m:t>H</m:t>
                    </m:r>
                  </m:e>
                  <m:sub>
                    <m:r>
                      <w:rPr>
                        <w:rFonts w:ascii="Cambria Math" w:eastAsia="Times New Roman" w:hAnsi="Times New Roman" w:cs="Times New Roman"/>
                        <w:kern w:val="0"/>
                        <w:sz w:val="28"/>
                        <w:szCs w:val="28"/>
                        <w:lang w:val="ru-RU" w:eastAsia="ru-RU"/>
                        <w14:ligatures w14:val="none"/>
                      </w:rPr>
                      <m:t>д</m:t>
                    </m:r>
                    <m:r>
                      <w:rPr>
                        <w:rFonts w:ascii="Cambria Math" w:eastAsia="Times New Roman" w:hAnsi="Times New Roman" w:cs="Times New Roman"/>
                        <w:kern w:val="0"/>
                        <w:sz w:val="28"/>
                        <w:szCs w:val="28"/>
                        <w:lang w:val="en-US" w:eastAsia="ru-RU"/>
                        <w14:ligatures w14:val="none"/>
                      </w:rPr>
                      <m:t>.</m:t>
                    </m:r>
                    <m:r>
                      <w:rPr>
                        <w:rFonts w:ascii="Cambria Math" w:eastAsia="Times New Roman" w:hAnsi="Times New Roman" w:cs="Times New Roman"/>
                        <w:kern w:val="0"/>
                        <w:sz w:val="28"/>
                        <w:szCs w:val="28"/>
                        <w:lang w:val="ru-RU" w:eastAsia="ru-RU"/>
                        <w14:ligatures w14:val="none"/>
                      </w:rPr>
                      <m:t>с</m:t>
                    </m:r>
                  </m:sub>
                </m:sSub>
              </m:den>
            </m:f>
          </m:e>
        </m:d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m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t</m:t>
            </m:r>
          </m:sub>
        </m:sSub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K</m:t>
            </m:r>
          </m:e>
          <m:sub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г</m:t>
            </m:r>
          </m:sub>
        </m:sSub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-</m:t>
        </m:r>
        <m:r>
          <w:rPr>
            <w:rFonts w:ascii="Cambria Math" w:eastAsia="Times New Roman" w:hAnsi="Cambria Math" w:cs="Times New Roman"/>
            <w:kern w:val="0"/>
            <w:sz w:val="28"/>
            <w:szCs w:val="28"/>
            <w:lang w:val="ru-RU" w:eastAsia="ru-RU"/>
            <w14:ligatures w14:val="none"/>
          </w:rPr>
          <m:t>S</m:t>
        </m:r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en-US" w:eastAsia="ru-RU"/>
            <w14:ligatures w14:val="none"/>
          </w:rPr>
          <m:t>.</m:t>
        </m:r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 xml:space="preserve">                       (XXVIII.5)</w:t>
      </w:r>
    </w:p>
    <w:p w14:paraId="6DF3AC6B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</w:p>
    <w:p w14:paraId="382A6CF3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Если при проектировании земляного полотна предусматривается </w:t>
      </w:r>
      <w:r w:rsidRPr="00E717EC"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  <w:t>осушение дорожной полосы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с удалением растительного покрова, то в зоне деградирующей вечной мерзлоты после оттаивания и просыхания дорожной полосы можно назначать высоту насыпи из обычных соображений как во II дорожно-климатической зоне.</w:t>
      </w:r>
    </w:p>
    <w:p w14:paraId="4EA2654B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Если к моменту возведения земляного полотна осушение не успеет полностью произойти, высоту насыпи назначают таким образом, чтобы осадки насыпи S при фильтрационной консолидации не превышали указанных выше величин предельной допустимой неровности покрытий.</w:t>
      </w:r>
    </w:p>
    <w:p w14:paraId="4714BEDE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Величина сжатия слоя мерзлого грунта после оттаивания согласно приведенной выше зависимости (XXVIII.2)</w:t>
      </w:r>
    </w:p>
    <w:p w14:paraId="01EB3593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37730399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m:oMathPara>
        <m:oMath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en-US" w:eastAsia="ru-RU"/>
              <w14:ligatures w14:val="none"/>
            </w:rPr>
            <m:t>S</m:t>
          </m:r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en-US" w:eastAsia="ru-RU"/>
              <w14:ligatures w14:val="none"/>
            </w:rPr>
            <m:t>=</m:t>
          </m:r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en-US" w:eastAsia="ru-RU"/>
              <w14:ligatures w14:val="none"/>
            </w:rPr>
            <m:t>e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H</m:t>
              </m:r>
            </m:e>
            <m:sub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расч</m:t>
              </m:r>
            </m:sub>
          </m:sSub>
        </m:oMath>
      </m:oMathPara>
    </w:p>
    <w:p w14:paraId="525DCB17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Толщина оттаявшего слоя, дающего деформацию S, равная </w:t>
      </w:r>
      <w:r w:rsidRPr="00E717EC">
        <w:rPr>
          <w:rFonts w:ascii="Times New Roman" w:eastAsia="Times New Roman" w:hAnsi="Times New Roman" w:cs="Times New Roman"/>
          <w:kern w:val="0"/>
          <w:position w:val="-26"/>
          <w:sz w:val="28"/>
          <w:szCs w:val="28"/>
          <w:lang w:val="ru-RU" w:eastAsia="ru-RU"/>
          <w14:ligatures w14:val="none"/>
        </w:rPr>
        <w:object w:dxaOrig="1219" w:dyaOrig="700" w14:anchorId="0A24B30B">
          <v:shape id="_x0000_i1027" type="#_x0000_t75" style="width:60.75pt;height:35.05pt" o:ole="">
            <v:imagedata r:id="rId14" o:title=""/>
          </v:shape>
          <o:OLEObject Type="Embed" ProgID="Equation.DSMT4" ShapeID="_x0000_i1027" DrawAspect="Content" ObjectID="_1756234519" r:id="rId15"/>
        </w:objec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, эквивалентна слою грунта насыпи</w:t>
      </w:r>
    </w:p>
    <w:p w14:paraId="73451F46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3DCDAC2D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H</m:t>
              </m:r>
            </m:e>
            <m:sub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экв</m:t>
              </m:r>
            </m:sub>
          </m:sSub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ru-RU" w:eastAsia="ru-RU"/>
              <w14:ligatures w14:val="none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p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m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t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г</m:t>
                  </m:r>
                </m:sub>
              </m:sSub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S</m:t>
              </m:r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H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д</m:t>
                  </m:r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.</m:t>
                  </m:r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с</m:t>
                  </m:r>
                </m:sub>
              </m:sSub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e</m:t>
              </m:r>
            </m:den>
          </m:f>
        </m:oMath>
      </m:oMathPara>
    </w:p>
    <w:p w14:paraId="16531BFB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</w:p>
    <w:p w14:paraId="0D6539AA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Отсюда необходимая высота насыпи</w:t>
      </w:r>
    </w:p>
    <w:p w14:paraId="7F61DB30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6822B5A0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m:oMath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H</m:t>
        </m:r>
        <m:r>
          <w:rPr>
            <w:rFonts w:ascii="Cambria Math" w:eastAsia="Times New Roman" w:hAnsi="Algerian" w:cs="Times New Roman"/>
            <w:kern w:val="0"/>
            <w:sz w:val="28"/>
            <w:szCs w:val="28"/>
            <w:lang w:val="ru-RU" w:eastAsia="ru-RU"/>
            <w14:ligatures w14:val="none"/>
          </w:rPr>
          <m:t>=</m:t>
        </m:r>
        <m:sSub>
          <m:sSubPr>
            <m:ctrlPr>
              <w:rPr>
                <w:rFonts w:ascii="Cambria Math" w:eastAsia="Times New Roman" w:hAnsi="Algerian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H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p</m:t>
            </m:r>
          </m:sub>
        </m:sSub>
        <m:sSub>
          <m:sSubPr>
            <m:ctrlPr>
              <w:rPr>
                <w:rFonts w:ascii="Cambria Math" w:eastAsia="Times New Roman" w:hAnsi="Algerian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m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t</m:t>
            </m:r>
          </m:sub>
        </m:sSub>
        <m:sSub>
          <m:sSubPr>
            <m:ctrlPr>
              <w:rPr>
                <w:rFonts w:ascii="Cambria Math" w:eastAsia="Times New Roman" w:hAnsi="Algerian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K</m:t>
            </m:r>
          </m:e>
          <m:sub>
            <m:r>
              <m:rPr>
                <m:sty m:val="p"/>
              </m:rP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г</m:t>
            </m:r>
          </m:sub>
        </m:sSub>
        <m:r>
          <w:rPr>
            <w:rFonts w:ascii="Cambria Math" w:eastAsia="Times New Roman" w:hAnsi="Cambria Math" w:cs="Times New Roman"/>
            <w:kern w:val="0"/>
            <w:sz w:val="28"/>
            <w:szCs w:val="28"/>
            <w:lang w:val="ru-RU" w:eastAsia="ru-RU"/>
            <w14:ligatures w14:val="none"/>
          </w:rPr>
          <m:t>-</m:t>
        </m:r>
        <m:f>
          <m:fPr>
            <m:ctrlPr>
              <w:rPr>
                <w:rFonts w:ascii="Cambria Math" w:eastAsia="Times New Roman" w:hAnsi="Algerian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fPr>
          <m:num>
            <m:sSub>
              <m:sSubPr>
                <m:ctrlPr>
                  <w:rPr>
                    <w:rFonts w:ascii="Cambria Math" w:eastAsia="Times New Roman" w:hAnsi="Algerian" w:cs="Times New Roman"/>
                    <w:i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H</m:t>
                </m:r>
              </m:e>
              <m:sub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p</m:t>
                </m:r>
              </m:sub>
            </m:sSub>
            <m:sSub>
              <m:sSubPr>
                <m:ctrlPr>
                  <w:rPr>
                    <w:rFonts w:ascii="Cambria Math" w:eastAsia="Times New Roman" w:hAnsi="Algerian" w:cs="Times New Roman"/>
                    <w:i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m</m:t>
                </m:r>
              </m:e>
              <m:sub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t</m:t>
                </m:r>
              </m:sub>
            </m:sSub>
            <m:sSub>
              <m:sSubPr>
                <m:ctrlPr>
                  <w:rPr>
                    <w:rFonts w:ascii="Cambria Math" w:eastAsia="Times New Roman" w:hAnsi="Algerian" w:cs="Times New Roman"/>
                    <w:i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г</m:t>
                </m:r>
              </m:sub>
            </m:s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S</m:t>
            </m:r>
          </m:num>
          <m:den>
            <m:sSub>
              <m:sSubPr>
                <m:ctrlPr>
                  <w:rPr>
                    <w:rFonts w:ascii="Cambria Math" w:eastAsia="Times New Roman" w:hAnsi="Algerian" w:cs="Times New Roman"/>
                    <w:i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H</m:t>
                </m:r>
              </m:e>
              <m:sub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д</m:t>
                </m:r>
                <m:r>
                  <w:rPr>
                    <w:rFonts w:ascii="Cambria Math" w:eastAsia="Times New Roman" w:hAnsi="Algerian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.</m:t>
                </m:r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с</m:t>
                </m:r>
              </m:sub>
            </m:s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e</m:t>
            </m:r>
          </m:den>
        </m:f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                               (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XXVIII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.6)</w:t>
      </w:r>
    </w:p>
    <w:p w14:paraId="169E984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5D4413B6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Назначая рабочие отметки, следует учитывать, что моховой и торфяной покровы уплотняются под насыпью на 40 – 50% от толщины, замеренной при изысканиях.</w:t>
      </w:r>
    </w:p>
    <w:p w14:paraId="17B51100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Поэтому при разбивке насыпей во время строительства к расчетной высоте, определенной по формуле (XXVIII.6), необходимо добавлять величину сжатия растительного покрова.</w:t>
      </w:r>
    </w:p>
    <w:p w14:paraId="1859E559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При сохранении вечномерзлых грунтов в основании для предохранения мохового покрова от разрушения в нижнем слое насыпи целесообразно устраивать прослойки из дренирующих грунтов мелких фракций (50 – 100 см) толщиной 0,3 – 0,5 м (рис. XXVIII.6, а). </w:t>
      </w:r>
    </w:p>
    <w:p w14:paraId="4BC05196" w14:textId="29A03130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7184F7B" wp14:editId="15BA5D76">
                <wp:simplePos x="0" y="0"/>
                <wp:positionH relativeFrom="margin">
                  <wp:posOffset>9457690</wp:posOffset>
                </wp:positionH>
                <wp:positionV relativeFrom="paragraph">
                  <wp:posOffset>-8890</wp:posOffset>
                </wp:positionV>
                <wp:extent cx="0" cy="7059295"/>
                <wp:effectExtent l="31750" t="31750" r="34925" b="33655"/>
                <wp:wrapNone/>
                <wp:docPr id="752586977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059295"/>
                        </a:xfrm>
                        <a:prstGeom prst="line">
                          <a:avLst/>
                        </a:prstGeom>
                        <a:noFill/>
                        <a:ln w="5461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26C681"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4.7pt,-.7pt" to="744.7pt,55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" o:allowincell="f" strokeweight="4.3pt">
                <w10:wrap anchorx="margin"/>
              </v:line>
            </w:pict>
          </mc:Fallback>
        </mc:AlternateContent>
      </w:r>
    </w:p>
    <w:p w14:paraId="2C06C18F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drawing>
          <wp:inline distT="0" distB="0" distL="0" distR="0" wp14:anchorId="5CA75EB9" wp14:editId="1BE9C3D7">
            <wp:extent cx="5772150" cy="6076950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607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A3C4B2A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161C5749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В среднюю часть насыпи может быть помещен местный глинистый грунт (XXVIII.6, б). Верхний слой насыпи для предотвращения пучинообразования не менее чем на 0,5 м следует отсыпать из песка, щебня или гравия. На косогорных участках низовые откосы защищают от протаивания устройством теплоизоляционных присыпок (рис.XXVIII.6,e).</w:t>
      </w:r>
    </w:p>
    <w:p w14:paraId="584D5ADE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Не разрешается устраивать нагорные канавы, которые могут стать причиной 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глубокого протаивания и возникновения термокарстовых процессов. Для перехвата стекающей по склону воды отсыпают нагорные валы, вдоль которых вода отводится к пониженным местам.</w:t>
      </w:r>
    </w:p>
    <w:p w14:paraId="2AA3DE33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При допущении частичного оттаивания грунта для возведения насыпей можно использовать местные глинистые грунты придорожной полосы, закладывая притрассовые резервы или карьеры. Глинистый грунт можно отсыпать непосредственно на моховой и растительный покров, за исключением участков застоя воды или подтопления паводковыми водами.</w:t>
      </w:r>
    </w:p>
    <w:p w14:paraId="6B90256A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13F83A03" w14:textId="6DF1EAF1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4AADCB6B" wp14:editId="0C031965">
                <wp:simplePos x="0" y="0"/>
                <wp:positionH relativeFrom="margin">
                  <wp:posOffset>9525000</wp:posOffset>
                </wp:positionH>
                <wp:positionV relativeFrom="paragraph">
                  <wp:posOffset>-12065</wp:posOffset>
                </wp:positionV>
                <wp:extent cx="0" cy="7266305"/>
                <wp:effectExtent l="32385" t="27940" r="34290" b="30480"/>
                <wp:wrapNone/>
                <wp:docPr id="286474038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266305"/>
                        </a:xfrm>
                        <a:prstGeom prst="line">
                          <a:avLst/>
                        </a:prstGeom>
                        <a:noFill/>
                        <a:ln w="520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E128C7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0pt,-.95pt" to="750pt,57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" o:allowincell="f" strokeweight="4.1pt">
                <w10:wrap anchorx="margin"/>
              </v:line>
            </w:pict>
          </mc:Fallback>
        </mc:AlternateConten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Устройство выемок в зоне вечной мерзлоты допускается на участках с благоприятными грунтово-гидрологическими условиями при отсутствии в грунте ледяных линз и прослоек. В этом случае используют типовые поперечные профили.</w:t>
      </w:r>
    </w:p>
    <w:p w14:paraId="34D64B26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При необходимости устройства выемок в сложных грунтово-гидрологических условиях, чего следует всячески избегать, им придают пологие откосы, защищаемые теплоизоляционными слоями (рис.XXVIII.7).</w:t>
      </w:r>
    </w:p>
    <w:p w14:paraId="1C0DC447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Пылеватые пучинистые грунты в основаниях заменяют дренирующим устойчивым материалом. Обеспечивают тщательный отвод воды из выемки и дренирующего слоя.</w:t>
      </w:r>
    </w:p>
    <w:p w14:paraId="572F989B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Высота насыпей, определенная по расчету на оттаивание льдонасыщенного основания, может быть уменьшена путем закладки в теле насыпи теплоизоляционных слоев. Долгое время теплоизоляцию устраивали только из местных подручных материалов – торфа, мха, древесной щепы, а на железных дорогах из топочных шлаков. Все эти теплоизоляционные слои эффективны только в сухом состоянии. Насыщение водой значительно повышает их теплопроводность, а в ряде случаев совершенно уничтожает их действие. Поэтому при устройстве теплоизоляции земляного полотна необходимо принимать меры по защите слоев от поверхностной и грунтовой влаги и обеспечивать из них отвод воды.</w:t>
      </w:r>
    </w:p>
    <w:p w14:paraId="57FE50B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lastRenderedPageBreak/>
        <w:drawing>
          <wp:inline distT="0" distB="0" distL="0" distR="0" wp14:anchorId="720AC068" wp14:editId="2184438E">
            <wp:extent cx="5495925" cy="4467225"/>
            <wp:effectExtent l="1905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446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6B7796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7FD7A009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В настоящее время широкое применение находят искусственные пористые теплоизоляционные материалы – пенопласт, полиуретан, полистирол. При сравнительно малой толщине слоев (5 – 10 см) уложенные в нижней части земляного полотна они уменьшают глубину оттаивания в 1,5 – 2 раза, причем высота насыпей может быть уменьшена до 0,6 – 1,0 м, если это не противоречит требованиям борьбы с снежными заносами.</w:t>
      </w:r>
    </w:p>
    <w:p w14:paraId="0E2384B7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Толщина изоляционных слоев должна быть обоснована теплотехническими расчетами, на основании которых устанавливают глубину промерзания и оттаивания в зависимости от факторов, влияющих на скорость теплопередачи в грунте. К этим факторам относятся теплофизические свойства грунтов, температурный режим воздуха, тепловой поток из глубинных слоев грунта и теплоизоляционные слои на поверхности грунта.</w:t>
      </w:r>
    </w:p>
    <w:p w14:paraId="03A7154F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Были предложены различные методы расчета скорости оттаивания грунтов. Однако попытки точного решения задачи о скорости изменения температур во влажном грунте на разных глубинах приводят к громоздким решениям, которые все же не учитывают ряда факторов: прихода и ухода тепла с водой, охлаждение земляного полотна ведром, влияние затенения и т. д. Большое количество входящих в предлагаемые зависимости расчетных констант и параметров в связи с отсутствием их надежных значений и методов определений сильно снижает кажущуюся точность сложных решений. Если учесть к тому же, что при расчетах приходится исходить из средних многолетних температур, от которых в отдельные годы могут наблюдаться 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значительные отклонения, то вполне оправдано применение упрощенных инженерных методов расчета.</w:t>
      </w:r>
    </w:p>
    <w:p w14:paraId="3BE92D59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Из их числа наиболее распространенным является метод проф. В. С. Лукьянова. В его основу положены следующие допущения: температура наружного воздуха постоянна; грунт однороден; температура изменяется в грунте от поверхности до нижней границы талого слоя – глубины, на которой температура равна нулю, по закону прямой линии; теплоизоляционные слои на поверхности мерзлого грунта при расчете промерзания или оттаивания приводятся к эквивалентному слою грунта; тепловой поток из глубинных слоев грунта постоянен.</w:t>
      </w:r>
    </w:p>
    <w:p w14:paraId="7B7D8B4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Следует отметить, что допущение постоянной температуры воздуха не препятствует учету ее фактического изменения в течение года. Для этого криволинейную эпюру изменений температуры во времени нужно заменить ступенчатой и расчеты скорости промерзания проводить последовательно применительно к коротким отрезкам времени.</w:t>
      </w:r>
    </w:p>
    <w:p w14:paraId="1A54AB0A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Рассмотрим процесс оттаивания мерзлого грунта, на поверхности которого уложен теплоизоляционный слой (или дорожная одежда) толщиной l (рис. XXVIII.8).</w:t>
      </w:r>
    </w:p>
    <w:p w14:paraId="3D325182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ru-RU" w:eastAsia="ru-RU"/>
          <w14:ligatures w14:val="none"/>
        </w:rPr>
        <w:drawing>
          <wp:inline distT="0" distB="0" distL="0" distR="0" wp14:anchorId="6A20561B" wp14:editId="75943A7F">
            <wp:extent cx="2895600" cy="3209925"/>
            <wp:effectExtent l="1905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6DCEE1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Этот слой при расчете оттаивания в дальнейшем заменяется слоем мерзлого грунта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s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, эквивалентным по величине термического сопротивления сопротивлению термоизоляционных слоев и теплообмену поверхности земли с воздухом.</w:t>
      </w:r>
    </w:p>
    <w:p w14:paraId="65A661BB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Обозначим через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α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коэффициент теплоотдачи к поверхности земли, характеризующий количество тепла, Передаваемого за единицу времени через единицу поверхности контакта грунта с воздухом при разности их температур 1°. Коэффициент теплоотдачи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α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имеет размерность ккал/(м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vertAlign w:val="superscript"/>
          <w:lang w:val="ru-RU" w:eastAsia="ru-RU"/>
          <w14:ligatures w14:val="none"/>
        </w:rPr>
        <w:t>2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·ч·град).</w:t>
      </w:r>
    </w:p>
    <w:p w14:paraId="3B003487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Можно считать, что при отсутствии ветра или в местах, укрытых от ветра,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α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= 10, при ветреной погоде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α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= 20.</w:t>
      </w:r>
    </w:p>
    <w:p w14:paraId="11EBE09C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Обозначим через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λ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коэффициент теплопроводности – количество тепла, 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 xml:space="preserve">проходящего в единицу времени через единицу площади ограничивающей поверхности при падении температуры на 1° на единицу толщины слоя. Коэффициент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λ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имеет размерность ккал/(м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vertAlign w:val="superscript"/>
          <w:lang w:val="ru-RU" w:eastAsia="ru-RU"/>
          <w14:ligatures w14:val="none"/>
        </w:rPr>
        <w:t>2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·ч·град).</w:t>
      </w:r>
    </w:p>
    <w:p w14:paraId="211471AD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Полное термическое сопротивление теплообмену воздуха с поверхности земли и сопротивление прикрывающего грунт изолирующего слоя толщиной </w:t>
      </w:r>
      <w:r w:rsidRPr="00E717EC"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 w:eastAsia="ru-RU"/>
          <w14:ligatures w14:val="none"/>
        </w:rPr>
        <w:t>l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равно:</w:t>
      </w:r>
    </w:p>
    <w:p w14:paraId="2859CBBF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m:oMathPara>
        <m:oMath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en-US" w:eastAsia="ru-RU"/>
              <w14:ligatures w14:val="none"/>
            </w:rPr>
            <m:t>R</m:t>
          </m:r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en-US" w:eastAsia="ru-RU"/>
              <w14:ligatures w14:val="none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fPr>
            <m:num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1</m:t>
              </m:r>
            </m:num>
            <m:den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α</m:t>
              </m:r>
            </m:den>
          </m:f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en-US" w:eastAsia="ru-RU"/>
              <w14:ligatures w14:val="none"/>
            </w:rPr>
            <m:t>+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fPr>
            <m:num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1</m:t>
              </m:r>
            </m:num>
            <m:den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λ</m:t>
              </m:r>
            </m:den>
          </m:f>
        </m:oMath>
      </m:oMathPara>
    </w:p>
    <w:p w14:paraId="17EA2652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0CCCD9A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Грунт, имеющий коэффициент теплопроводности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λ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vertAlign w:val="subscript"/>
          <w:lang w:val="ru-RU" w:eastAsia="ru-RU"/>
          <w14:ligatures w14:val="none"/>
        </w:rPr>
        <w:t>0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, будет иметь равное термическое сопротивление при толщине слоя</w:t>
      </w:r>
    </w:p>
    <w:p w14:paraId="29C6A88C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453CC446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  <m:oMath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s</m:t>
        </m:r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en-US" w:eastAsia="ru-RU"/>
            <w14:ligatures w14:val="none"/>
          </w:rPr>
          <m:t>=</m:t>
        </m:r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R</m:t>
        </m:r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λ</m:t>
            </m:r>
          </m:e>
          <m:sub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0</m:t>
            </m:r>
          </m:sub>
        </m:sSub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en-US" w:eastAsia="ru-RU"/>
            <w14:ligatures w14:val="none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λ</m:t>
            </m:r>
          </m:e>
          <m:sub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0</m:t>
            </m:r>
          </m:sub>
        </m:sSub>
        <m:d>
          <m:d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 w:cs="Times New Roman"/>
                    <w:i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</m:ctrlPr>
              </m:fPr>
              <m:num>
                <m:r>
                  <w:rPr>
                    <w:rFonts w:ascii="Cambria Math" w:eastAsia="Times New Roman" w:hAnsi="Times New Roman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1</m:t>
                </m:r>
              </m:num>
              <m:den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α</m:t>
                </m:r>
              </m:den>
            </m:f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+</m:t>
            </m:r>
            <m:f>
              <m:fPr>
                <m:ctrlPr>
                  <w:rPr>
                    <w:rFonts w:ascii="Cambria Math" w:eastAsia="Times New Roman" w:hAnsi="Cambria Math" w:cs="Times New Roman"/>
                    <w:i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</m:ctrlPr>
              </m:fPr>
              <m:num>
                <m:r>
                  <w:rPr>
                    <w:rFonts w:ascii="Cambria Math" w:eastAsia="Times New Roman" w:hAnsi="Times New Roman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1</m:t>
                </m:r>
              </m:num>
              <m:den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λ</m:t>
                </m:r>
              </m:den>
            </m:f>
          </m:e>
        </m:d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en-US" w:eastAsia="ru-RU"/>
            <w14:ligatures w14:val="none"/>
          </w:rPr>
          <m:t>.</m:t>
        </m:r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 xml:space="preserve">                               (XXVIII.7)</w:t>
      </w:r>
    </w:p>
    <w:p w14:paraId="47427ADC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</w:p>
    <w:p w14:paraId="5C70240F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При расчетах на оттаивание грунтов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λ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vertAlign w:val="subscript"/>
          <w:lang w:val="ru-RU" w:eastAsia="ru-RU"/>
          <w14:ligatures w14:val="none"/>
        </w:rPr>
        <w:t>0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следует брать для грунтов в незамерзшем состоянии, при расчетах на промерзание – в замороженном.</w:t>
      </w:r>
    </w:p>
    <w:p w14:paraId="552440FE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Если термоизоляция многослойная, формула принимает вид:</w:t>
      </w:r>
    </w:p>
    <w:p w14:paraId="6ADE3F8A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6B38873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  <m:oMath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s</m:t>
        </m:r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en-US" w:eastAsia="ru-RU"/>
            <w14:ligatures w14:val="none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λ</m:t>
            </m:r>
          </m:e>
          <m:sub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0</m:t>
            </m:r>
          </m:sub>
        </m:sSub>
        <m:d>
          <m:d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 w:cs="Times New Roman"/>
                    <w:i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</m:ctrlPr>
              </m:fPr>
              <m:num>
                <m:r>
                  <w:rPr>
                    <w:rFonts w:ascii="Cambria Math" w:eastAsia="Times New Roman" w:hAnsi="Times New Roman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1</m:t>
                </m:r>
              </m:num>
              <m:den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α</m:t>
                </m:r>
              </m:den>
            </m:f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+</m:t>
            </m:r>
            <m:nary>
              <m:naryPr>
                <m:chr m:val="∑"/>
                <m:limLoc m:val="undOvr"/>
                <m:ctrlPr>
                  <w:rPr>
                    <w:rFonts w:ascii="Cambria Math" w:eastAsia="Times New Roman" w:hAnsi="Cambria Math" w:cs="Times New Roman"/>
                    <w:i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</m:ctrlPr>
              </m:naryPr>
              <m:sub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i</m:t>
                </m:r>
                <m:r>
                  <w:rPr>
                    <w:rFonts w:ascii="Cambria Math" w:eastAsia="Times New Roman" w:hAnsi="Times New Roman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=0</m:t>
                </m:r>
              </m:sub>
              <m:sup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l</m:t>
                </m:r>
                <m:r>
                  <w:rPr>
                    <w:rFonts w:ascii="Cambria Math" w:eastAsia="Times New Roman" w:hAnsi="Times New Roman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=</m:t>
                </m:r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n</m:t>
                </m:r>
              </m:sup>
              <m:e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kern w:val="0"/>
                        <w:sz w:val="28"/>
                        <w:szCs w:val="28"/>
                        <w:lang w:val="en-US" w:eastAsia="ru-RU"/>
                        <w14:ligatures w14:val="none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kern w:val="0"/>
                            <w:sz w:val="28"/>
                            <w:szCs w:val="28"/>
                            <w:lang w:val="en-US" w:eastAsia="ru-RU"/>
                            <w14:ligatures w14:val="none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kern w:val="0"/>
                            <w:sz w:val="28"/>
                            <w:szCs w:val="28"/>
                            <w:lang w:val="en-US" w:eastAsia="ru-RU"/>
                            <w14:ligatures w14:val="none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kern w:val="0"/>
                            <w:sz w:val="28"/>
                            <w:szCs w:val="28"/>
                            <w:lang w:val="en-US" w:eastAsia="ru-RU"/>
                            <w14:ligatures w14:val="none"/>
                          </w:rPr>
                          <m:t>i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="Times New Roman" w:hAnsi="Cambria Math" w:cs="Times New Roman"/>
                            <w:i/>
                            <w:kern w:val="0"/>
                            <w:sz w:val="28"/>
                            <w:szCs w:val="28"/>
                            <w:lang w:val="en-US" w:eastAsia="ru-RU"/>
                            <w14:ligatures w14:val="none"/>
                          </w:rPr>
                        </m:ctrlPr>
                      </m:sSubPr>
                      <m:e>
                        <m:r>
                          <w:rPr>
                            <w:rFonts w:ascii="Cambria Math" w:eastAsia="Times New Roman" w:hAnsi="Cambria Math" w:cs="Times New Roman"/>
                            <w:kern w:val="0"/>
                            <w:sz w:val="28"/>
                            <w:szCs w:val="28"/>
                            <w:lang w:val="en-US" w:eastAsia="ru-RU"/>
                            <w14:ligatures w14:val="none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eastAsia="Times New Roman" w:hAnsi="Cambria Math" w:cs="Times New Roman"/>
                            <w:kern w:val="0"/>
                            <w:sz w:val="28"/>
                            <w:szCs w:val="28"/>
                            <w:lang w:val="en-US" w:eastAsia="ru-RU"/>
                            <w14:ligatures w14:val="none"/>
                          </w:rPr>
                          <m:t>i</m:t>
                        </m:r>
                      </m:sub>
                    </m:sSub>
                  </m:den>
                </m:f>
              </m:e>
            </m:nary>
          </m:e>
        </m:d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,                                  (XXVIII.8)</w:t>
      </w:r>
    </w:p>
    <w:p w14:paraId="72A8535F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</w:p>
    <w:p w14:paraId="3E93503C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где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l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i</m:t>
            </m:r>
          </m:sub>
        </m:sSub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- толщина отдельных слоев изоляции.</w:t>
      </w:r>
    </w:p>
    <w:p w14:paraId="3479D6DA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Начальное распределение температур на рис. XXVIII.8 обозначено прямой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АС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. Нулевая изотерма, условно принимаемая при рас чете за границу между мерзлым и талым грунтом, соответствует линий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en-US" w:eastAsia="ru-RU"/>
          <w14:ligatures w14:val="none"/>
        </w:rPr>
        <w:t>NN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vertAlign w:val="subscript"/>
          <w:lang w:val="ru-RU" w:eastAsia="ru-RU"/>
          <w14:ligatures w14:val="none"/>
        </w:rPr>
        <w:t>1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.</w:t>
      </w:r>
    </w:p>
    <w:p w14:paraId="413446DB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Пусть за промежуток времени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dt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граница промерзания переместится на величину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dh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в положение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N'N'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vertAlign w:val="subscript"/>
          <w:lang w:val="ru-RU" w:eastAsia="ru-RU"/>
          <w14:ligatures w14:val="none"/>
        </w:rPr>
        <w:t>1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. При этом прямая распределений температуры в мерзлом грунте займет положение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АС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, площадь треугольника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ABC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увеличится на величину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d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en-US" w:eastAsia="ru-RU"/>
          <w14:ligatures w14:val="none"/>
        </w:rPr>
        <w:t>ω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</w:t>
      </w:r>
    </w:p>
    <w:p w14:paraId="0D8F1B59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Согласно законам теплопередачи количество теплоты, проходящее за единицу времени через единицу поверхности, ограничивающей грунтовые массивы, выражается зависимостью</w:t>
      </w:r>
    </w:p>
    <w:p w14:paraId="4618EC5D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45308D1E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  <m:oMath>
        <m:r>
          <w:rPr>
            <w:rFonts w:ascii="Cambria Math" w:eastAsia="Times New Roman" w:hAnsi="Cambria Math" w:cs="Times New Roman"/>
            <w:kern w:val="0"/>
            <w:sz w:val="28"/>
            <w:szCs w:val="28"/>
            <w:lang w:val="ru-RU" w:eastAsia="ru-RU"/>
            <w14:ligatures w14:val="none"/>
          </w:rPr>
          <m:t>q</m:t>
        </m:r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en-US" w:eastAsia="ru-RU"/>
            <w14:ligatures w14:val="none"/>
          </w:rPr>
          <m:t>=</m:t>
        </m:r>
        <m:f>
          <m:f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λ</m:t>
                </m:r>
              </m:e>
              <m:sub>
                <m:r>
                  <w:rPr>
                    <w:rFonts w:ascii="Cambria Math" w:eastAsia="Times New Roman" w:hAnsi="Times New Roman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T</m:t>
                </m:r>
              </m:e>
              <m:sub>
                <m:r>
                  <w:rPr>
                    <w:rFonts w:ascii="Cambria Math" w:eastAsia="Times New Roman" w:hAnsi="Times New Roman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0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s</m:t>
            </m:r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+</m:t>
            </m:r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h</m:t>
            </m:r>
          </m:den>
        </m:f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,                                         (XXVIII.9)</w:t>
      </w:r>
    </w:p>
    <w:p w14:paraId="72A28FDD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</w:p>
    <w:p w14:paraId="6175F490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где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λ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0</m:t>
            </m:r>
          </m:sub>
        </m:sSub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- коэффициент теплопроводности талого грунта;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Т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0</m:t>
            </m:r>
          </m:sub>
        </m:sSub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– температура воздуха, °С;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ru-RU" w:eastAsia="ru-RU"/>
                <w14:ligatures w14:val="none"/>
              </w:rPr>
            </m:ctrlPr>
          </m:fPr>
          <m:num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1</m:t>
            </m:r>
          </m:num>
          <m:den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s</m:t>
            </m:r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+</m:t>
            </m:r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h</m:t>
            </m:r>
          </m:den>
        </m:f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- температурный градиент.</w:t>
      </w:r>
    </w:p>
    <w:p w14:paraId="05342C15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3D8BC71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Поступление в мерзлый грунт тепла за период времени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dt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с 1 м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vertAlign w:val="superscript"/>
          <w:lang w:val="ru-RU" w:eastAsia="ru-RU"/>
          <w14:ligatures w14:val="none"/>
        </w:rPr>
        <w:t>2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поверхности раздела между талым и мерзлым грунтом слагается из:</w:t>
      </w:r>
    </w:p>
    <w:p w14:paraId="3661B6AA" w14:textId="77777777" w:rsidR="00E717EC" w:rsidRPr="00E717EC" w:rsidRDefault="00E717EC" w:rsidP="00E717E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тепла, поступившего в нижние слои грунта:</w:t>
      </w:r>
    </w:p>
    <w:p w14:paraId="5DA9748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48E7E736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q</m:t>
              </m:r>
            </m:e>
            <m:sub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1</m:t>
              </m:r>
            </m:sub>
          </m:sSub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ru-RU" w:eastAsia="ru-RU"/>
              <w14:ligatures w14:val="none"/>
            </w:rPr>
            <m:t>=</m:t>
          </m:r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ru-RU" w:eastAsia="ru-RU"/>
              <w14:ligatures w14:val="none"/>
            </w:rPr>
            <m:t>qdt</m:t>
          </m:r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ru-RU" w:eastAsia="ru-RU"/>
              <w14:ligatures w14:val="none"/>
            </w:rPr>
            <m:t>;</m:t>
          </m:r>
        </m:oMath>
      </m:oMathPara>
    </w:p>
    <w:p w14:paraId="039DD4BE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</w:pPr>
    </w:p>
    <w:p w14:paraId="58F7337F" w14:textId="77777777" w:rsidR="00E717EC" w:rsidRPr="00E717EC" w:rsidRDefault="00E717EC" w:rsidP="00E717E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 xml:space="preserve">скрытой теплоты, потребовавшейся для оттаивания воды в объеме </w:t>
      </w:r>
      <w:r w:rsidRPr="00E717EC">
        <w:rPr>
          <w:rFonts w:ascii="Times New Roman" w:eastAsia="Times New Roman" w:hAnsi="Times New Roman" w:cs="Times New Roman"/>
          <w:kern w:val="0"/>
          <w:position w:val="-6"/>
          <w:sz w:val="20"/>
          <w:szCs w:val="20"/>
          <w:lang w:val="ru-RU" w:eastAsia="ru-RU"/>
          <w14:ligatures w14:val="none"/>
        </w:rPr>
        <w:object w:dxaOrig="1060" w:dyaOrig="300" w14:anchorId="3CF57634">
          <v:shape id="_x0000_i1028" type="#_x0000_t75" style="width:53.2pt;height:15.05pt" o:ole="">
            <v:imagedata r:id="rId19" o:title=""/>
          </v:shape>
          <o:OLEObject Type="Embed" ProgID="Equation.DSMT4" ShapeID="_x0000_i1028" DrawAspect="Content" ObjectID="_1756234520" r:id="rId20"/>
        </w:objec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 Это количество тепла равно</w:t>
      </w:r>
    </w:p>
    <w:p w14:paraId="1E7F6B00" w14:textId="77777777" w:rsidR="00E717EC" w:rsidRPr="00E717EC" w:rsidRDefault="00E717EC" w:rsidP="00E717E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</w:p>
    <w:p w14:paraId="1938AD01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q</m:t>
              </m:r>
            </m:e>
            <m:sub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2</m:t>
              </m:r>
            </m:sub>
          </m:sSub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en-US" w:eastAsia="ru-RU"/>
              <w14:ligatures w14:val="none"/>
            </w:rPr>
            <m:t>=</m:t>
          </m:r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en-US" w:eastAsia="ru-RU"/>
              <w14:ligatures w14:val="none"/>
            </w:rPr>
            <m:t>Qdh</m:t>
          </m:r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en-US" w:eastAsia="ru-RU"/>
              <w14:ligatures w14:val="none"/>
            </w:rPr>
            <m:t>,</m:t>
          </m:r>
        </m:oMath>
      </m:oMathPara>
    </w:p>
    <w:p w14:paraId="2E51B636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</w:pPr>
    </w:p>
    <w:p w14:paraId="0FC80DF6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где </w:t>
      </w:r>
      <m:oMath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Q</m:t>
        </m:r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- количество воды, находящейся в единице объема грунта, умноженное на 80 (ккал/кг).</w:t>
      </w:r>
    </w:p>
    <w:p w14:paraId="08CC4FC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m:oMathPara>
        <m:oMath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en-US" w:eastAsia="ru-RU"/>
              <w14:ligatures w14:val="none"/>
            </w:rPr>
            <m:t>Q=ρ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ω</m:t>
              </m:r>
            </m:e>
            <m:sub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0</m:t>
              </m:r>
            </m:sub>
          </m:sSub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δ</m:t>
              </m:r>
            </m:e>
            <m:sub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0</m:t>
              </m:r>
            </m:sub>
          </m:sSub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en-US" w:eastAsia="ru-RU"/>
              <w14:ligatures w14:val="none"/>
            </w:rPr>
            <m:t>,</m:t>
          </m:r>
        </m:oMath>
      </m:oMathPara>
    </w:p>
    <w:p w14:paraId="211CCAED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kern w:val="0"/>
          <w:sz w:val="28"/>
          <w:szCs w:val="28"/>
          <w:lang w:val="ru-RU" w:eastAsia="ru-RU"/>
          <w14:ligatures w14:val="none"/>
        </w:rPr>
      </w:pPr>
    </w:p>
    <w:p w14:paraId="68A1ACD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где </w:t>
      </w:r>
      <m:oMath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ρ</m:t>
        </m:r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- скрытая теплота, расходуемая на оттаивание 1 кг воды;</w:t>
      </w:r>
      <m:oMath>
        <m:r>
          <w:rPr>
            <w:rFonts w:ascii="Cambria Math" w:eastAsia="Times New Roman" w:hAnsi="Cambria Math" w:cs="Times New Roman"/>
            <w:kern w:val="0"/>
            <w:sz w:val="28"/>
            <w:szCs w:val="28"/>
            <w:lang w:val="ru-RU" w:eastAsia="ru-RU"/>
            <w14:ligatures w14:val="none"/>
          </w:rPr>
          <m:t xml:space="preserve"> </m:t>
        </m:r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δ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0</m:t>
            </m:r>
          </m:sub>
        </m:sSub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- плотность скелета грунта;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ω</m:t>
            </m:r>
          </m:e>
          <m:sub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0</m:t>
            </m:r>
          </m:sub>
        </m:sSub>
      </m:oMath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- влажность грунта, % по массе, за вычетом процента воды, сохраняющейся в грунте в жидком состоянии при отрицательных температурах.</w:t>
      </w:r>
    </w:p>
    <w:p w14:paraId="1D702CD7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7374F630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3) теплоты, потребовавшейся на нагревание верхнего слоя талого грунта, т. е. на перемещение прямой распределения температур из положения </w:t>
      </w:r>
      <w:r w:rsidRPr="00E717EC"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>АС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в положение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АС'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 Это количество тепла равно сумме теплоемкостей всех элементов нагреваемого слоя, умноженной на величину повышения их температур.</w:t>
      </w:r>
    </w:p>
    <w:p w14:paraId="6915979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Изменение содержаний тепла в любом выделенном в оттаявшем грунте элементарном слое толщиной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dh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и площадью 1 м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vertAlign w:val="superscript"/>
          <w:lang w:val="ru-RU" w:eastAsia="ru-RU"/>
          <w14:ligatures w14:val="none"/>
        </w:rPr>
        <w:t>2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при изменении температуры на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dT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равно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c·dh·dT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, где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с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– объемная теплоемкость грунта.</w:t>
      </w:r>
    </w:p>
    <w:p w14:paraId="7C650A9D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Но согласно рис. XXVIII.8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dh·dT=d (dω)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, и, следовательно, суммарное поглощение теплоты при нагревании оттаявшего слоя равно произведению теплоемкости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с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на приращение площади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dω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. При этом пренебрегают поглощением тепла слоем изоляции и учитывают только промерзший слой грунта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h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за период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dt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 Площадь определяют из разности площадей треугольников АСС' и ADD'</w:t>
      </w:r>
    </w:p>
    <w:p w14:paraId="4B5520EC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1BDCC931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m:oMathPara>
        <m:oMath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ru-RU" w:eastAsia="ru-RU"/>
              <w14:ligatures w14:val="none"/>
            </w:rPr>
            <m:t>dω</m:t>
          </m:r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ru-RU" w:eastAsia="ru-RU"/>
              <w14:ligatures w14:val="none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fPr>
            <m:num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1</m:t>
              </m:r>
            </m:num>
            <m:den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2</m:t>
              </m:r>
            </m:den>
          </m:f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T</m:t>
              </m:r>
            </m:e>
            <m:sub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0</m:t>
              </m:r>
            </m:sub>
          </m:sSub>
          <m:d>
            <m:dPr>
              <m:begChr m:val="["/>
              <m:endChr m:val="]"/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ru-RU" w:eastAsia="ru-RU"/>
                  <w14:ligatures w14:val="none"/>
                </w:rPr>
              </m:ctrlPr>
            </m:dPr>
            <m:e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1</m:t>
              </m:r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ru-RU" w:eastAsia="ru-RU"/>
                  <w14:ligatures w14:val="none"/>
                </w:rPr>
                <m:t>-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s</m:t>
                      </m:r>
                    </m:e>
                    <m:sup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(</m:t>
                      </m:r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s</m:t>
                      </m:r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+</m:t>
                      </m:r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h</m:t>
                      </m:r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)</m:t>
                      </m:r>
                    </m:e>
                    <m:sup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2</m:t>
                      </m:r>
                    </m:sup>
                  </m:sSup>
                </m:den>
              </m:f>
            </m:e>
          </m:d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ru-RU" w:eastAsia="ru-RU"/>
              <w14:ligatures w14:val="none"/>
            </w:rPr>
            <m:t>dh</m:t>
          </m:r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ru-RU" w:eastAsia="ru-RU"/>
              <w14:ligatures w14:val="none"/>
            </w:rPr>
            <m:t>.</m:t>
          </m:r>
        </m:oMath>
      </m:oMathPara>
    </w:p>
    <w:p w14:paraId="001F0CE9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</w:p>
    <w:p w14:paraId="423EEB49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Отсюда поглощение тепла оттаявшим грунтом при повышении его температуры</w:t>
      </w:r>
    </w:p>
    <w:p w14:paraId="02D5228C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q</m:t>
              </m:r>
            </m:e>
            <m:sub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3</m:t>
              </m:r>
            </m:sub>
          </m:sSub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en-US" w:eastAsia="ru-RU"/>
              <w14:ligatures w14:val="none"/>
            </w:rPr>
            <m:t>=</m:t>
          </m:r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en-US" w:eastAsia="ru-RU"/>
              <w14:ligatures w14:val="none"/>
            </w:rPr>
            <m:t>cdω</m:t>
          </m:r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en-US" w:eastAsia="ru-RU"/>
              <w14:ligatures w14:val="none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fPr>
            <m:num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1</m:t>
              </m:r>
            </m:num>
            <m:den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2</m:t>
              </m:r>
            </m:den>
          </m:f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en-US" w:eastAsia="ru-RU"/>
              <w14:ligatures w14:val="none"/>
            </w:rPr>
            <m:t>c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T</m:t>
              </m:r>
            </m:e>
            <m:sub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0</m:t>
              </m:r>
            </m:sub>
          </m:sSub>
          <m:sSup>
            <m:sSup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sSupPr>
            <m:e>
              <m:d>
                <m:dPr>
                  <m:begChr m:val="["/>
                  <m:endChr m:val="]"/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dPr>
                <m:e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1</m:t>
                  </m:r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-</m:t>
                  </m:r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Cambria Math" w:cs="Times New Roman"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  <m:t>s</m:t>
                          </m:r>
                        </m:e>
                        <m:sup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  <m:t>2</m:t>
                          </m:r>
                        </m:sup>
                      </m:sSup>
                    </m:num>
                    <m:den>
                      <m:sSup>
                        <m:sSup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(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s</m:t>
                          </m:r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+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h</m:t>
                          </m:r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)</m:t>
                          </m:r>
                        </m:e>
                        <m:sup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</m:e>
            <m:sup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´</m:t>
              </m:r>
            </m:sup>
          </m:sSup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en-US" w:eastAsia="ru-RU"/>
              <w14:ligatures w14:val="none"/>
            </w:rPr>
            <m:t>dh</m:t>
          </m:r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en-US" w:eastAsia="ru-RU"/>
              <w14:ligatures w14:val="none"/>
            </w:rPr>
            <m:t>.</m:t>
          </m:r>
        </m:oMath>
      </m:oMathPara>
    </w:p>
    <w:p w14:paraId="459AFA40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</w:p>
    <w:p w14:paraId="657F353A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Поскольку суммарное поглощение тепла при оттаивании вечно мерзлого грунта равно его поступлению с поверхности</w:t>
      </w:r>
    </w:p>
    <w:p w14:paraId="5C29E9F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4F012775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  <m:oMathPara>
        <m:oMath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en-US" w:eastAsia="ru-RU"/>
              <w14:ligatures w14:val="none"/>
            </w:rPr>
            <m:t>q</m:t>
          </m:r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en-US" w:eastAsia="ru-RU"/>
              <w14:ligatures w14:val="none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q</m:t>
              </m:r>
            </m:e>
            <m:sub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1</m:t>
              </m:r>
            </m:sub>
          </m:sSub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en-US" w:eastAsia="ru-RU"/>
              <w14:ligatures w14:val="none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q</m:t>
              </m:r>
            </m:e>
            <m:sub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2</m:t>
              </m:r>
            </m:sub>
          </m:sSub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en-US" w:eastAsia="ru-RU"/>
              <w14:ligatures w14:val="none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q</m:t>
              </m:r>
            </m:e>
            <m:sub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3</m:t>
              </m:r>
            </m:sub>
          </m:sSub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en-US" w:eastAsia="ru-RU"/>
              <w14:ligatures w14:val="none"/>
            </w:rPr>
            <m:t>,</m:t>
          </m:r>
        </m:oMath>
      </m:oMathPara>
    </w:p>
    <w:p w14:paraId="7A5389F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или           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λ</m:t>
                </m:r>
              </m:e>
              <m:sub>
                <m:r>
                  <w:rPr>
                    <w:rFonts w:ascii="Cambria Math" w:eastAsia="Times New Roman" w:hAnsi="Times New Roman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  <m:t>T</m:t>
                </m:r>
              </m:e>
              <m:sub>
                <m:r>
                  <w:rPr>
                    <w:rFonts w:ascii="Cambria Math" w:eastAsia="Times New Roman" w:hAnsi="Times New Roman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0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h</m:t>
            </m:r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+</m:t>
            </m:r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s</m:t>
            </m:r>
          </m:den>
        </m:f>
        <m:r>
          <w:rPr>
            <w:rFonts w:ascii="Cambria Math" w:eastAsia="Times New Roman" w:hAnsi="Cambria Math" w:cs="Times New Roman"/>
            <w:kern w:val="0"/>
            <w:sz w:val="28"/>
            <w:szCs w:val="28"/>
            <w:lang w:val="ru-RU" w:eastAsia="ru-RU"/>
            <w14:ligatures w14:val="none"/>
          </w:rPr>
          <m:t>-</m:t>
        </m:r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dt</m:t>
        </m:r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ru-RU" w:eastAsia="ru-RU"/>
            <w14:ligatures w14:val="none"/>
          </w:rPr>
          <m:t>=</m:t>
        </m:r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qdt</m:t>
        </m:r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ru-RU" w:eastAsia="ru-RU"/>
            <w14:ligatures w14:val="none"/>
          </w:rPr>
          <m:t>+</m:t>
        </m:r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Qd</m:t>
        </m:r>
        <m:r>
          <w:rPr>
            <w:rFonts w:ascii="Cambria Math" w:eastAsia="Times New Roman" w:hAnsi="Cambria Math" w:cs="Times New Roman"/>
            <w:kern w:val="0"/>
            <w:sz w:val="28"/>
            <w:szCs w:val="28"/>
            <w:lang w:val="ru-RU" w:eastAsia="ru-RU"/>
            <w14:ligatures w14:val="none"/>
          </w:rPr>
          <m:t>h</m:t>
        </m:r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ru-RU" w:eastAsia="ru-RU"/>
            <w14:ligatures w14:val="none"/>
          </w:rPr>
          <m:t>+</m:t>
        </m:r>
        <m:f>
          <m:f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fPr>
          <m:num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1</m:t>
            </m:r>
          </m:num>
          <m:den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2</m:t>
            </m:r>
          </m:den>
        </m:f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c</m:t>
        </m:r>
        <m:sSub>
          <m:sSub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sSubPr>
          <m:e>
            <m:r>
              <w:rPr>
                <w:rFonts w:ascii="Cambria Math" w:eastAsia="Times New Roman" w:hAnsi="Cambria Math" w:cs="Times New Roman"/>
                <w:kern w:val="0"/>
                <w:sz w:val="28"/>
                <w:szCs w:val="28"/>
                <w:lang w:val="en-US" w:eastAsia="ru-RU"/>
                <w14:ligatures w14:val="none"/>
              </w:rPr>
              <m:t>T</m:t>
            </m:r>
          </m:e>
          <m:sub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0</m:t>
            </m:r>
          </m:sub>
        </m:sSub>
        <m:sSup>
          <m:sSupPr>
            <m:ctrlPr>
              <w:rPr>
                <w:rFonts w:ascii="Cambria Math" w:eastAsia="Times New Roman" w:hAnsi="Cambria Math" w:cs="Times New Roman"/>
                <w:i/>
                <w:kern w:val="0"/>
                <w:sz w:val="28"/>
                <w:szCs w:val="28"/>
                <w:lang w:val="en-US" w:eastAsia="ru-RU"/>
                <w14:ligatures w14:val="none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eastAsia="Times New Roman" w:hAnsi="Cambria Math" w:cs="Times New Roman"/>
                    <w:i/>
                    <w:kern w:val="0"/>
                    <w:sz w:val="28"/>
                    <w:szCs w:val="28"/>
                    <w:lang w:val="en-US" w:eastAsia="ru-RU"/>
                    <w14:ligatures w14:val="none"/>
                  </w:rPr>
                </m:ctrlPr>
              </m:dPr>
              <m:e>
                <m:r>
                  <w:rPr>
                    <w:rFonts w:ascii="Cambria Math" w:eastAsia="Times New Roman" w:hAnsi="Times New Roman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1</m:t>
                </m:r>
                <m:r>
                  <w:rPr>
                    <w:rFonts w:ascii="Cambria Math" w:eastAsia="Times New Roman" w:hAnsi="Times New Roman" w:cs="Times New Roman"/>
                    <w:kern w:val="0"/>
                    <w:sz w:val="28"/>
                    <w:szCs w:val="28"/>
                    <w:lang w:val="ru-RU" w:eastAsia="ru-RU"/>
                    <w14:ligatures w14:val="none"/>
                  </w:rPr>
                  <m:t>-</m:t>
                </m:r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kern w:val="0"/>
                        <w:sz w:val="28"/>
                        <w:szCs w:val="28"/>
                        <w:lang w:val="en-US" w:eastAsia="ru-RU"/>
                        <w14:ligatures w14:val="none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kern w:val="0"/>
                            <w:sz w:val="28"/>
                            <w:szCs w:val="28"/>
                            <w:lang w:val="en-US" w:eastAsia="ru-RU"/>
                            <w14:ligatures w14:val="none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="Times New Roman"/>
                            <w:kern w:val="0"/>
                            <w:sz w:val="28"/>
                            <w:szCs w:val="28"/>
                            <w:lang w:val="en-US" w:eastAsia="ru-RU"/>
                            <w14:ligatures w14:val="none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eastAsia="Times New Roman" w:hAnsi="Times New Roman" w:cs="Times New Roman"/>
                            <w:kern w:val="0"/>
                            <w:sz w:val="28"/>
                            <w:szCs w:val="28"/>
                            <w:lang w:val="ru-RU" w:eastAsia="ru-RU"/>
                            <w14:ligatures w14:val="none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="Times New Roman" w:hAnsi="Cambria Math" w:cs="Times New Roman"/>
                            <w:i/>
                            <w:kern w:val="0"/>
                            <w:sz w:val="28"/>
                            <w:szCs w:val="28"/>
                            <w:lang w:val="ru-RU" w:eastAsia="ru-RU"/>
                            <w14:ligatures w14:val="none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Times New Roman" w:cs="Times New Roman"/>
                            <w:kern w:val="0"/>
                            <w:sz w:val="28"/>
                            <w:szCs w:val="28"/>
                            <w:lang w:val="ru-RU" w:eastAsia="ru-RU"/>
                            <w14:ligatures w14:val="none"/>
                          </w:rPr>
                          <m:t>(</m:t>
                        </m:r>
                        <m:r>
                          <w:rPr>
                            <w:rFonts w:ascii="Cambria Math" w:eastAsia="Times New Roman" w:hAnsi="Cambria Math" w:cs="Times New Roman"/>
                            <w:kern w:val="0"/>
                            <w:sz w:val="28"/>
                            <w:szCs w:val="28"/>
                            <w:lang w:val="ru-RU" w:eastAsia="ru-RU"/>
                            <w14:ligatures w14:val="none"/>
                          </w:rPr>
                          <m:t>s</m:t>
                        </m:r>
                        <m:r>
                          <w:rPr>
                            <w:rFonts w:ascii="Cambria Math" w:eastAsia="Times New Roman" w:hAnsi="Times New Roman" w:cs="Times New Roman"/>
                            <w:kern w:val="0"/>
                            <w:sz w:val="28"/>
                            <w:szCs w:val="28"/>
                            <w:lang w:val="ru-RU" w:eastAsia="ru-RU"/>
                            <w14:ligatures w14:val="none"/>
                          </w:rPr>
                          <m:t>+</m:t>
                        </m:r>
                        <m:r>
                          <w:rPr>
                            <w:rFonts w:ascii="Cambria Math" w:eastAsia="Times New Roman" w:hAnsi="Cambria Math" w:cs="Times New Roman"/>
                            <w:kern w:val="0"/>
                            <w:sz w:val="28"/>
                            <w:szCs w:val="28"/>
                            <w:lang w:val="ru-RU" w:eastAsia="ru-RU"/>
                            <w14:ligatures w14:val="none"/>
                          </w:rPr>
                          <m:t>h</m:t>
                        </m:r>
                        <m:r>
                          <w:rPr>
                            <w:rFonts w:ascii="Cambria Math" w:eastAsia="Times New Roman" w:hAnsi="Times New Roman" w:cs="Times New Roman"/>
                            <w:kern w:val="0"/>
                            <w:sz w:val="28"/>
                            <w:szCs w:val="28"/>
                            <w:lang w:val="ru-RU" w:eastAsia="ru-RU"/>
                            <w14:ligatures w14:val="none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eastAsia="Times New Roman" w:hAnsi="Times New Roman" w:cs="Times New Roman"/>
                            <w:kern w:val="0"/>
                            <w:sz w:val="28"/>
                            <w:szCs w:val="28"/>
                            <w:lang w:val="ru-RU" w:eastAsia="ru-RU"/>
                            <w14:ligatures w14:val="none"/>
                          </w:rPr>
                          <m:t>2</m:t>
                        </m:r>
                      </m:sup>
                    </m:sSup>
                  </m:den>
                </m:f>
              </m:e>
            </m:d>
          </m:e>
          <m:sup>
            <m:r>
              <w:rPr>
                <w:rFonts w:ascii="Cambria Math" w:eastAsia="Times New Roman" w:hAnsi="Times New Roman" w:cs="Times New Roman"/>
                <w:kern w:val="0"/>
                <w:sz w:val="28"/>
                <w:szCs w:val="28"/>
                <w:lang w:val="ru-RU" w:eastAsia="ru-RU"/>
                <w14:ligatures w14:val="none"/>
              </w:rPr>
              <m:t>´</m:t>
            </m:r>
          </m:sup>
        </m:sSup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d</m:t>
        </m:r>
        <m:r>
          <w:rPr>
            <w:rFonts w:ascii="Cambria Math" w:eastAsia="Times New Roman" w:hAnsi="Cambria Math" w:cs="Times New Roman"/>
            <w:kern w:val="0"/>
            <w:sz w:val="28"/>
            <w:szCs w:val="28"/>
            <w:lang w:val="ru-RU" w:eastAsia="ru-RU"/>
            <w14:ligatures w14:val="none"/>
          </w:rPr>
          <m:t>h</m:t>
        </m:r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ru-RU" w:eastAsia="ru-RU"/>
            <w14:ligatures w14:val="none"/>
          </w:rPr>
          <m:t>.      (</m:t>
        </m:r>
        <m:r>
          <w:rPr>
            <w:rFonts w:ascii="Cambria Math" w:eastAsia="Times New Roman" w:hAnsi="Cambria Math" w:cs="Times New Roman"/>
            <w:kern w:val="0"/>
            <w:sz w:val="28"/>
            <w:szCs w:val="28"/>
            <w:lang w:val="en-US" w:eastAsia="ru-RU"/>
            <w14:ligatures w14:val="none"/>
          </w:rPr>
          <m:t>XXVIII</m:t>
        </m:r>
        <m:r>
          <w:rPr>
            <w:rFonts w:ascii="Cambria Math" w:eastAsia="Times New Roman" w:hAnsi="Times New Roman" w:cs="Times New Roman"/>
            <w:kern w:val="0"/>
            <w:sz w:val="28"/>
            <w:szCs w:val="28"/>
            <w:lang w:val="ru-RU" w:eastAsia="ru-RU"/>
            <w14:ligatures w14:val="none"/>
          </w:rPr>
          <m:t>.10)</m:t>
        </m:r>
      </m:oMath>
    </w:p>
    <w:p w14:paraId="71E0E075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5B0FE1F6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lastRenderedPageBreak/>
        <w:t>Разделяя переменные и интегрируя выражение (XXVI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II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.10) в пределах от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0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до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t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и от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0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до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h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, получаем искомое выражение для определения скорости оттаивания или промерзания</w:t>
      </w:r>
    </w:p>
    <w:p w14:paraId="0B5C8525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776C89B2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m:oMathPara>
        <m:oMath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en-US" w:eastAsia="ru-RU"/>
              <w14:ligatures w14:val="none"/>
            </w:rPr>
            <m:t>l</m:t>
          </m:r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en-US" w:eastAsia="ru-RU"/>
              <w14:ligatures w14:val="none"/>
            </w:rPr>
            <m:t>=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Q</m:t>
              </m:r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+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c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0</m:t>
                      </m:r>
                    </m:sub>
                  </m:sSub>
                </m:num>
                <m:den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2</m:t>
                  </m:r>
                </m:den>
              </m:f>
            </m:e>
          </m:d>
          <m:d>
            <m:dPr>
              <m:begChr m:val="["/>
              <m:endChr m:val="]"/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dPr>
            <m:e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0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q</m:t>
                      </m:r>
                    </m:e>
                    <m:sup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2</m:t>
                      </m:r>
                    </m:sup>
                  </m:sSup>
                </m:den>
              </m:f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ln</m:t>
                  </m:r>
                </m:fName>
                <m:e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0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0</m:t>
                          </m:r>
                        </m:sub>
                      </m:sSub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-qs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0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0</m:t>
                          </m:r>
                        </m:sub>
                      </m:sSub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-q</m:t>
                      </m:r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(</m:t>
                      </m:r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h</m:t>
                      </m:r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+</m:t>
                      </m:r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s</m:t>
                      </m:r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)</m:t>
                      </m:r>
                    </m:den>
                  </m:f>
                </m:e>
              </m:func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-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h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q</m:t>
                  </m:r>
                </m:den>
              </m:f>
            </m:e>
          </m:d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en-US" w:eastAsia="ru-RU"/>
              <w14:ligatures w14:val="none"/>
            </w:rPr>
            <m:t>-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c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s</m:t>
                  </m:r>
                </m:e>
                <m:sup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2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λ</m:t>
                  </m:r>
                </m:e>
                <m:sub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0</m:t>
                  </m:r>
                </m:sub>
              </m:sSub>
            </m:den>
          </m:f>
          <m:func>
            <m:func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ln</m:t>
              </m:r>
            </m:fName>
            <m:e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sSubPr>
                    <m:e>
                      <m:d>
                        <m:d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="Times New Roman" w:hAnsi="Cambria Math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h</m:t>
                          </m:r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+</m:t>
                          </m:r>
                          <m:r>
                            <w:rPr>
                              <w:rFonts w:ascii="Cambria Math" w:eastAsia="Times New Roman" w:hAnsi="Cambria Math" w:cs="Times New Roman"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  <m:t>s</m:t>
                          </m: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</m:ctrlPr>
                        </m:e>
                      </m:d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(</m:t>
                      </m:r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0</m:t>
                      </m:r>
                    </m:sub>
                  </m:sSub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-qs</m:t>
                  </m:r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)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s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0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0</m:t>
                          </m:r>
                        </m:sub>
                      </m:sSub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-q</m:t>
                      </m:r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(</m:t>
                      </m:r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h</m:t>
                      </m:r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+</m:t>
                      </m:r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s</m:t>
                      </m:r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)</m:t>
                      </m:r>
                    </m:e>
                  </m:d>
                </m:den>
              </m:f>
            </m:e>
          </m:func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en-US" w:eastAsia="ru-RU"/>
              <w14:ligatures w14:val="none"/>
            </w:rPr>
            <m:t>.</m:t>
          </m:r>
        </m:oMath>
      </m:oMathPara>
    </w:p>
    <w:p w14:paraId="19EB66C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76D2B68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(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XXVIII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.11)</w:t>
      </w:r>
    </w:p>
    <w:p w14:paraId="0CB1823C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10DDF0F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Как показали сравнительные расчеты, второй член полученного уравнения оказывает малое влияние на величину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t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и может быть опущен. Поэтому для определения скорости оттаивания или промерзания грунта можно пользоваться упрощенным выражением:</w:t>
      </w:r>
    </w:p>
    <w:p w14:paraId="2D722446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0EE66487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  <m:oMathPara>
        <m:oMath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en-US" w:eastAsia="ru-RU"/>
              <w14:ligatures w14:val="none"/>
            </w:rPr>
            <m:t>h</m:t>
          </m:r>
          <m:r>
            <w:rPr>
              <w:rFonts w:ascii="Cambria Math" w:eastAsia="Times New Roman" w:hAnsi="Times New Roman" w:cs="Times New Roman"/>
              <w:kern w:val="0"/>
              <w:sz w:val="28"/>
              <w:szCs w:val="28"/>
              <w:lang w:val="en-US" w:eastAsia="ru-RU"/>
              <w14:ligatures w14:val="none"/>
            </w:rPr>
            <m:t>=</m:t>
          </m:r>
          <m:d>
            <m:d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Q</m:t>
              </m:r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+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c</m:t>
                  </m:r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0</m:t>
                      </m:r>
                    </m:sub>
                  </m:sSub>
                </m:num>
                <m:den>
                  <m: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2</m:t>
                  </m:r>
                </m:den>
              </m:f>
            </m:e>
          </m:d>
          <m:d>
            <m:d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dPr>
            <m:e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T</m:t>
                      </m:r>
                    </m:e>
                    <m:sub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0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sSupPr>
                    <m:e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q</m:t>
                      </m:r>
                    </m:e>
                    <m:sup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2</m:t>
                      </m:r>
                    </m:sup>
                  </m:sSup>
                </m:den>
              </m:f>
              <m:func>
                <m:func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="Times New Roman" w:hAnsi="Times New Roman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ln</m:t>
                  </m:r>
                </m:fName>
                <m:e>
                  <m:f>
                    <m:f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0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0</m:t>
                          </m:r>
                        </m:sub>
                      </m:sSub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-qs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  <m:t>λ</m:t>
                          </m:r>
                        </m:e>
                        <m:sub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0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eastAsia="Times New Roman" w:hAnsi="Cambria Math" w:cs="Times New Roman"/>
                              <w:i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="Times New Roman" w:hAnsi="Cambria Math" w:cs="Times New Roman"/>
                              <w:kern w:val="0"/>
                              <w:sz w:val="28"/>
                              <w:szCs w:val="28"/>
                              <w:lang w:val="en-US" w:eastAsia="ru-RU"/>
                              <w14:ligatures w14:val="none"/>
                            </w:rPr>
                            <m:t>T</m:t>
                          </m:r>
                        </m:e>
                        <m:sub>
                          <m:r>
                            <w:rPr>
                              <w:rFonts w:ascii="Cambria Math" w:eastAsia="Times New Roman" w:hAnsi="Times New Roman" w:cs="Times New Roman"/>
                              <w:kern w:val="0"/>
                              <w:sz w:val="28"/>
                              <w:szCs w:val="28"/>
                              <w:lang w:val="ru-RU" w:eastAsia="ru-RU"/>
                              <w14:ligatures w14:val="none"/>
                            </w:rPr>
                            <m:t>0</m:t>
                          </m:r>
                        </m:sub>
                      </m:sSub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-q</m:t>
                      </m:r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(</m:t>
                      </m:r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h</m:t>
                      </m:r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ru-RU" w:eastAsia="ru-RU"/>
                          <w14:ligatures w14:val="none"/>
                        </w:rPr>
                        <m:t>+</m:t>
                      </m:r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s</m:t>
                      </m:r>
                      <m:r>
                        <w:rPr>
                          <w:rFonts w:ascii="Cambria Math" w:eastAsia="Times New Roman" w:hAnsi="Times New Roman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)</m:t>
                      </m:r>
                    </m:den>
                  </m:f>
                </m:e>
              </m:func>
              <m:r>
                <w:rPr>
                  <w:rFonts w:ascii="Cambria Math" w:eastAsia="Times New Roman" w:hAnsi="Times New Roman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-</m:t>
              </m:r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fPr>
                <m:num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h</m:t>
                  </m:r>
                </m:num>
                <m:den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q</m:t>
                  </m:r>
                </m:den>
              </m:f>
            </m:e>
          </m:d>
        </m:oMath>
      </m:oMathPara>
    </w:p>
    <w:p w14:paraId="37AB5361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(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XXVIII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.12)</w:t>
      </w:r>
    </w:p>
    <w:p w14:paraId="42AA7CE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218609B3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Из формулы (XXVIII. 12), если принимать в ней различные параметры равными нулю, можно получить простые формулы, известные из литературы. При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en-US" w:eastAsia="ru-RU"/>
          <w14:ligatures w14:val="none"/>
        </w:rPr>
        <w:t>q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 xml:space="preserve"> = 0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,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s = 0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; и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c = 0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, получается формула Стефана, предложенная первоначально для оценки скорости нарастания льда в стоячих водоемах:</w:t>
      </w:r>
    </w:p>
    <w:p w14:paraId="2E2EEDD2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59666A4D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  <m:oMathPara>
        <m:oMath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en-US" w:eastAsia="ru-RU"/>
              <w14:ligatures w14:val="none"/>
            </w:rPr>
            <m:t>t=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Q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h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2</m:t>
              </m:r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λ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  <m:t>T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kern w:val="0"/>
                      <w:sz w:val="28"/>
                      <w:szCs w:val="28"/>
                      <w:lang w:val="ru-RU" w:eastAsia="ru-RU"/>
                      <w14:ligatures w14:val="none"/>
                    </w:rPr>
                    <m:t>0</m:t>
                  </m:r>
                </m:sub>
              </m:sSub>
            </m:den>
          </m:f>
        </m:oMath>
      </m:oMathPara>
    </w:p>
    <w:p w14:paraId="49090415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(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XXVIII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.13)</w:t>
      </w:r>
    </w:p>
    <w:p w14:paraId="79EE79FC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4CCAA90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Формулу (XXVI11.13) можно с достаточной точностью использовать в теплотехнических расчетах при проектировании автомобильных дорог.</w:t>
      </w:r>
    </w:p>
    <w:p w14:paraId="15C2CAA8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При конструировании теплоизоляции из нескольких слоев, а также при учете влияния различных слоев дорожной одежды необходимо приводить эти слои к эквивалентным по теплопередаче слоям грунта.</w:t>
      </w:r>
    </w:p>
    <w:p w14:paraId="6CE55E7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Используя формулу Стефана и приравнивая выражения для двух разных материалов, можно получись зависимость:</w:t>
      </w:r>
    </w:p>
    <w:p w14:paraId="366576A9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6D86083C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h</m:t>
              </m:r>
            </m:e>
            <m:sub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1</m:t>
              </m:r>
            </m:sub>
          </m:sSub>
          <m:r>
            <w:rPr>
              <w:rFonts w:ascii="Cambria Math" w:eastAsia="Times New Roman" w:hAnsi="Cambria Math" w:cs="Times New Roman"/>
              <w:kern w:val="0"/>
              <w:sz w:val="28"/>
              <w:szCs w:val="28"/>
              <w:lang w:val="en-US" w:eastAsia="ru-RU"/>
              <w14:ligatures w14:val="none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h</m:t>
              </m:r>
            </m:e>
            <m:sub>
              <m:r>
                <w:rPr>
                  <w:rFonts w:ascii="Cambria Math" w:eastAsia="Times New Roman" w:hAnsi="Cambria Math" w:cs="Times New Roman"/>
                  <w:kern w:val="0"/>
                  <w:sz w:val="28"/>
                  <w:szCs w:val="28"/>
                  <w:lang w:val="en-US" w:eastAsia="ru-RU"/>
                  <w14:ligatures w14:val="none"/>
                </w:rPr>
                <m:t>2</m:t>
              </m:r>
            </m:sub>
          </m:sSub>
          <m:rad>
            <m:radPr>
              <m:degHide m:val="1"/>
              <m:ctrlPr>
                <w:rPr>
                  <w:rFonts w:ascii="Cambria Math" w:eastAsia="Times New Roman" w:hAnsi="Cambria Math" w:cs="Times New Roman"/>
                  <w:i/>
                  <w:kern w:val="0"/>
                  <w:sz w:val="28"/>
                  <w:szCs w:val="28"/>
                  <w:lang w:val="en-US" w:eastAsia="ru-RU"/>
                  <w14:ligatures w14:val="none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="Times New Roman" w:hAnsi="Cambria Math" w:cs="Times New Roman"/>
                      <w:i/>
                      <w:kern w:val="0"/>
                      <w:sz w:val="28"/>
                      <w:szCs w:val="28"/>
                      <w:lang w:val="en-US" w:eastAsia="ru-RU"/>
                      <w14:ligatures w14:val="none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Q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kern w:val="0"/>
                          <w:sz w:val="28"/>
                          <w:szCs w:val="28"/>
                          <w:lang w:val="en-US" w:eastAsia="ru-RU"/>
                          <w14:ligatures w14:val="none"/>
                        </w:rPr>
                        <m:t>2</m:t>
                      </m:r>
                    </m:sub>
                  </m:sSub>
                </m:den>
              </m:f>
            </m:e>
          </m:rad>
        </m:oMath>
      </m:oMathPara>
    </w:p>
    <w:p w14:paraId="49F6D3A4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(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en-US" w:eastAsia="ru-RU"/>
          <w14:ligatures w14:val="none"/>
        </w:rPr>
        <w:t>XXVIII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.14)</w:t>
      </w:r>
    </w:p>
    <w:p w14:paraId="1D221F82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</w:p>
    <w:p w14:paraId="411F8B67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В этом случае под </w:t>
      </w:r>
      <w:r w:rsidRPr="00E717EC">
        <w:rPr>
          <w:rFonts w:ascii="Times New Roman" w:eastAsia="Times New Roman" w:hAnsi="Times New Roman" w:cs="Times New Roman"/>
          <w:b/>
          <w:i/>
          <w:kern w:val="0"/>
          <w:sz w:val="28"/>
          <w:szCs w:val="28"/>
          <w:lang w:val="ru-RU" w:eastAsia="ru-RU"/>
          <w14:ligatures w14:val="none"/>
        </w:rPr>
        <w:t>Q</w:t>
      </w:r>
      <w:r w:rsidRPr="00E717EC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следует понимать основной источник поглощения тепла при оттаивании. Для грунта им будет скрытая теплота плавления содержащейся в нем воды, для теплоизоляционных слоев – теплоемкость.</w:t>
      </w:r>
    </w:p>
    <w:p w14:paraId="7233CBB3" w14:textId="77777777" w:rsidR="00E717EC" w:rsidRPr="00E717EC" w:rsidRDefault="00E717EC" w:rsidP="00E717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7"/>
          <w:kern w:val="0"/>
          <w:sz w:val="28"/>
          <w:szCs w:val="28"/>
          <w:lang w:val="ru-RU" w:eastAsia="ru-RU"/>
          <w14:ligatures w14:val="none"/>
        </w:rPr>
      </w:pPr>
    </w:p>
    <w:p w14:paraId="01A0B2EB" w14:textId="77777777" w:rsidR="00FC4F6D" w:rsidRPr="00E717EC" w:rsidRDefault="00FC4F6D">
      <w:pPr>
        <w:rPr>
          <w:lang w:val="ru-RU"/>
        </w:rPr>
      </w:pPr>
    </w:p>
    <w:sectPr w:rsidR="00FC4F6D" w:rsidRPr="00E717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AF4990"/>
    <w:multiLevelType w:val="hybridMultilevel"/>
    <w:tmpl w:val="6414D4B4"/>
    <w:lvl w:ilvl="0" w:tplc="9252E9D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85446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F6D"/>
    <w:rsid w:val="00E717EC"/>
    <w:rsid w:val="00FC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9F0748-6001-4022-A57D-C96CD5681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E717EC"/>
  </w:style>
  <w:style w:type="table" w:styleId="a3">
    <w:name w:val="Table Grid"/>
    <w:basedOn w:val="a1"/>
    <w:rsid w:val="00E717E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ru-RU"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717EC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ru-RU" w:eastAsia="ru-RU"/>
      <w14:ligatures w14:val="none"/>
    </w:rPr>
  </w:style>
  <w:style w:type="character" w:customStyle="1" w:styleId="a5">
    <w:name w:val="Верхний колонтитул Знак"/>
    <w:basedOn w:val="a0"/>
    <w:link w:val="a4"/>
    <w:rsid w:val="00E717EC"/>
    <w:rPr>
      <w:rFonts w:ascii="Times New Roman" w:eastAsia="Times New Roman" w:hAnsi="Times New Roman" w:cs="Times New Roman"/>
      <w:kern w:val="0"/>
      <w:sz w:val="20"/>
      <w:szCs w:val="20"/>
      <w:lang w:val="ru-RU" w:eastAsia="ru-RU"/>
      <w14:ligatures w14:val="none"/>
    </w:rPr>
  </w:style>
  <w:style w:type="character" w:styleId="a6">
    <w:name w:val="page number"/>
    <w:basedOn w:val="a0"/>
    <w:rsid w:val="00E717EC"/>
  </w:style>
  <w:style w:type="paragraph" w:styleId="a7">
    <w:name w:val="Balloon Text"/>
    <w:basedOn w:val="a"/>
    <w:link w:val="a8"/>
    <w:uiPriority w:val="99"/>
    <w:semiHidden/>
    <w:unhideWhenUsed/>
    <w:rsid w:val="00E717EC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kern w:val="0"/>
      <w:sz w:val="16"/>
      <w:szCs w:val="16"/>
      <w:lang w:val="ru-RU" w:eastAsia="ru-RU"/>
      <w14:ligatures w14:val="none"/>
    </w:rPr>
  </w:style>
  <w:style w:type="character" w:customStyle="1" w:styleId="a8">
    <w:name w:val="Текст выноски Знак"/>
    <w:basedOn w:val="a0"/>
    <w:link w:val="a7"/>
    <w:uiPriority w:val="99"/>
    <w:semiHidden/>
    <w:rsid w:val="00E717EC"/>
    <w:rPr>
      <w:rFonts w:ascii="Tahoma" w:eastAsia="Times New Roman" w:hAnsi="Tahoma" w:cs="Tahoma"/>
      <w:kern w:val="0"/>
      <w:sz w:val="16"/>
      <w:szCs w:val="16"/>
      <w:lang w:val="ru-RU" w:eastAsia="ru-RU"/>
      <w14:ligatures w14:val="none"/>
    </w:rPr>
  </w:style>
  <w:style w:type="character" w:styleId="a9">
    <w:name w:val="Placeholder Text"/>
    <w:basedOn w:val="a0"/>
    <w:uiPriority w:val="99"/>
    <w:semiHidden/>
    <w:rsid w:val="00E717EC"/>
    <w:rPr>
      <w:color w:val="808080"/>
    </w:rPr>
  </w:style>
  <w:style w:type="paragraph" w:styleId="aa">
    <w:name w:val="List Paragraph"/>
    <w:basedOn w:val="a"/>
    <w:uiPriority w:val="34"/>
    <w:qFormat/>
    <w:rsid w:val="00E717EC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7.jpe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oleObject" Target="embeddings/oleObject2.bin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oleObject" Target="embeddings/oleObject4.bin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wmf"/><Relationship Id="rId5" Type="http://schemas.openxmlformats.org/officeDocument/2006/relationships/image" Target="media/image1.jpeg"/><Relationship Id="rId15" Type="http://schemas.openxmlformats.org/officeDocument/2006/relationships/oleObject" Target="embeddings/oleObject3.bin"/><Relationship Id="rId10" Type="http://schemas.openxmlformats.org/officeDocument/2006/relationships/image" Target="media/image5.jpeg"/><Relationship Id="rId19" Type="http://schemas.openxmlformats.org/officeDocument/2006/relationships/image" Target="media/image12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8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3908</Words>
  <Characters>22280</Characters>
  <Application>Microsoft Office Word</Application>
  <DocSecurity>0</DocSecurity>
  <Lines>185</Lines>
  <Paragraphs>52</Paragraphs>
  <ScaleCrop>false</ScaleCrop>
  <Company/>
  <LinksUpToDate>false</LinksUpToDate>
  <CharactersWithSpaces>26136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2023-09-14T16:08:00Z</dcterms:created>
  <dcterms:modified xsi:type="dcterms:W3CDTF">2023-09-14T16:09:00Z</dcterms:modified>
</cp:coreProperties>
</file>